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E88472" w14:textId="5023D14A" w:rsidR="00F141C3" w:rsidRPr="007E2DB7" w:rsidRDefault="00F141C3" w:rsidP="007E2DB7">
      <w:pPr>
        <w:tabs>
          <w:tab w:val="left" w:pos="630"/>
        </w:tabs>
        <w:ind w:firstLine="450"/>
        <w:rPr>
          <w:rFonts w:ascii="Times New Roman" w:hAnsi="Times New Roman" w:cs="Times New Roman"/>
          <w:b/>
          <w:color w:val="auto"/>
          <w:sz w:val="28"/>
          <w:szCs w:val="28"/>
        </w:rPr>
      </w:pPr>
      <w:r w:rsidRPr="00997667">
        <w:rPr>
          <w:rFonts w:ascii="Times New Roman" w:hAnsi="Times New Roman" w:cs="Times New Roman"/>
          <w:noProof/>
          <w:color w:val="auto"/>
          <w:lang w:val="en-US"/>
        </w:rPr>
        <w:t xml:space="preserve">   </w:t>
      </w:r>
      <w:r w:rsidRPr="00997667">
        <w:rPr>
          <w:rFonts w:ascii="Times New Roman" w:hAnsi="Times New Roman" w:cs="Times New Roman"/>
          <w:noProof/>
          <w:color w:val="auto"/>
        </w:rPr>
        <w:t xml:space="preserve">      </w:t>
      </w:r>
      <w:r w:rsidR="00824FC1" w:rsidRPr="00997667">
        <w:rPr>
          <w:rFonts w:ascii="Times New Roman" w:hAnsi="Times New Roman" w:cs="Times New Roman"/>
          <w:noProof/>
          <w:color w:val="auto"/>
          <w:lang w:val="bg-BG"/>
        </w:rPr>
        <w:t xml:space="preserve">               </w:t>
      </w:r>
      <w:r w:rsidR="002203D2" w:rsidRPr="00997667">
        <w:rPr>
          <w:rFonts w:ascii="Times New Roman" w:hAnsi="Times New Roman" w:cs="Times New Roman"/>
          <w:noProof/>
          <w:color w:val="auto"/>
          <w:lang w:val="bg-BG"/>
        </w:rPr>
        <w:tab/>
      </w:r>
      <w:r w:rsidR="002203D2" w:rsidRPr="00997667">
        <w:rPr>
          <w:rFonts w:ascii="Times New Roman" w:hAnsi="Times New Roman" w:cs="Times New Roman"/>
          <w:noProof/>
          <w:color w:val="auto"/>
          <w:lang w:val="bg-BG"/>
        </w:rPr>
        <w:tab/>
      </w:r>
      <w:r w:rsidR="002203D2" w:rsidRPr="00997667">
        <w:rPr>
          <w:rFonts w:ascii="Times New Roman" w:hAnsi="Times New Roman" w:cs="Times New Roman"/>
          <w:noProof/>
          <w:color w:val="auto"/>
          <w:lang w:val="bg-BG"/>
        </w:rPr>
        <w:tab/>
      </w:r>
      <w:r w:rsidR="002203D2" w:rsidRPr="00997667">
        <w:rPr>
          <w:rFonts w:ascii="Times New Roman" w:hAnsi="Times New Roman" w:cs="Times New Roman"/>
          <w:noProof/>
          <w:color w:val="auto"/>
          <w:lang w:val="bg-BG"/>
        </w:rPr>
        <w:tab/>
      </w:r>
      <w:r w:rsidR="007E2DB7" w:rsidRPr="007E2DB7">
        <w:rPr>
          <w:rFonts w:ascii="Times New Roman" w:hAnsi="Times New Roman" w:cs="Times New Roman"/>
          <w:b/>
          <w:noProof/>
          <w:color w:val="auto"/>
          <w:sz w:val="28"/>
          <w:szCs w:val="28"/>
          <w:lang w:val="bg-BG"/>
        </w:rPr>
        <w:t>МОТИВИ</w:t>
      </w:r>
    </w:p>
    <w:p w14:paraId="432DBD7D" w14:textId="77777777" w:rsidR="00F141C3" w:rsidRPr="00997667" w:rsidRDefault="00F141C3" w:rsidP="002203D2">
      <w:pPr>
        <w:tabs>
          <w:tab w:val="left" w:pos="630"/>
        </w:tabs>
        <w:spacing w:line="360" w:lineRule="auto"/>
        <w:ind w:firstLine="450"/>
        <w:jc w:val="center"/>
        <w:rPr>
          <w:rFonts w:ascii="Times New Roman" w:hAnsi="Times New Roman" w:cs="Times New Roman"/>
          <w:b/>
          <w:color w:val="auto"/>
        </w:rPr>
      </w:pPr>
    </w:p>
    <w:p w14:paraId="4CCB4777" w14:textId="77777777" w:rsidR="00F141C3" w:rsidRPr="00997667" w:rsidRDefault="00F141C3" w:rsidP="008C38D4">
      <w:pPr>
        <w:pStyle w:val="Heading3"/>
        <w:tabs>
          <w:tab w:val="left" w:pos="630"/>
        </w:tabs>
        <w:spacing w:before="0" w:after="0" w:line="360" w:lineRule="auto"/>
        <w:ind w:firstLine="450"/>
        <w:jc w:val="center"/>
        <w:rPr>
          <w:rFonts w:ascii="Times New Roman" w:hAnsi="Times New Roman"/>
          <w:b w:val="0"/>
          <w:bCs w:val="0"/>
          <w:i/>
          <w:sz w:val="24"/>
          <w:szCs w:val="24"/>
          <w:lang w:eastAsia="bg-BG"/>
        </w:rPr>
      </w:pPr>
      <w:r w:rsidRPr="00997667">
        <w:rPr>
          <w:rFonts w:ascii="Times New Roman" w:hAnsi="Times New Roman"/>
          <w:sz w:val="24"/>
          <w:szCs w:val="24"/>
        </w:rPr>
        <w:t>ОТНОСНО</w:t>
      </w:r>
      <w:r w:rsidRPr="00997667">
        <w:rPr>
          <w:rFonts w:ascii="Times New Roman" w:hAnsi="Times New Roman"/>
          <w:b w:val="0"/>
          <w:sz w:val="24"/>
          <w:szCs w:val="24"/>
        </w:rPr>
        <w:t xml:space="preserve">: </w:t>
      </w:r>
      <w:r w:rsidRPr="00997667">
        <w:rPr>
          <w:rFonts w:ascii="Times New Roman" w:hAnsi="Times New Roman"/>
          <w:b w:val="0"/>
          <w:i/>
          <w:sz w:val="24"/>
          <w:szCs w:val="24"/>
        </w:rPr>
        <w:t xml:space="preserve">проект на Решение на Министерския съвет </w:t>
      </w:r>
      <w:r w:rsidRPr="00997667">
        <w:rPr>
          <w:rFonts w:ascii="Times New Roman" w:hAnsi="Times New Roman"/>
          <w:b w:val="0"/>
          <w:bCs w:val="0"/>
          <w:i/>
          <w:sz w:val="24"/>
          <w:szCs w:val="24"/>
          <w:lang w:eastAsia="bg-BG"/>
        </w:rPr>
        <w:t xml:space="preserve">за одобряване на проект на Закон за изменение и допълнение на </w:t>
      </w:r>
      <w:bookmarkStart w:id="0" w:name="to_paragraph_id6180694"/>
      <w:bookmarkEnd w:id="0"/>
      <w:r w:rsidRPr="00997667">
        <w:rPr>
          <w:rFonts w:ascii="Times New Roman" w:hAnsi="Times New Roman"/>
          <w:b w:val="0"/>
          <w:bCs w:val="0"/>
          <w:i/>
          <w:sz w:val="24"/>
          <w:szCs w:val="24"/>
          <w:lang w:eastAsia="bg-BG"/>
        </w:rPr>
        <w:t>Закона за филмовата индустрия</w:t>
      </w:r>
    </w:p>
    <w:p w14:paraId="2D817F04" w14:textId="77777777" w:rsidR="00F141C3" w:rsidRPr="00997667" w:rsidRDefault="00F141C3" w:rsidP="002203D2">
      <w:pPr>
        <w:tabs>
          <w:tab w:val="left" w:pos="630"/>
        </w:tabs>
        <w:spacing w:line="360" w:lineRule="auto"/>
        <w:ind w:firstLine="450"/>
        <w:jc w:val="center"/>
        <w:rPr>
          <w:rFonts w:ascii="Times New Roman" w:hAnsi="Times New Roman" w:cs="Times New Roman"/>
          <w:b/>
          <w:i/>
          <w:color w:val="auto"/>
        </w:rPr>
      </w:pPr>
    </w:p>
    <w:p w14:paraId="0FDDBBC1" w14:textId="77777777" w:rsidR="00FA701E" w:rsidRPr="00997667" w:rsidRDefault="00FA701E" w:rsidP="002203D2">
      <w:pPr>
        <w:tabs>
          <w:tab w:val="left" w:pos="630"/>
        </w:tabs>
        <w:ind w:firstLine="450"/>
        <w:jc w:val="both"/>
        <w:rPr>
          <w:rFonts w:ascii="Times New Roman" w:hAnsi="Times New Roman" w:cs="Times New Roman"/>
          <w:color w:val="auto"/>
          <w:lang w:val="bg-BG"/>
        </w:rPr>
      </w:pPr>
    </w:p>
    <w:p w14:paraId="26BF4CAC"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 xml:space="preserve">                        </w:t>
      </w:r>
      <w:r w:rsidRPr="003576AB">
        <w:rPr>
          <w:rFonts w:ascii="Times New Roman" w:hAnsi="Times New Roman" w:cs="Times New Roman"/>
          <w:color w:val="auto"/>
          <w:lang w:val="bg-BG"/>
        </w:rPr>
        <w:tab/>
      </w:r>
      <w:r w:rsidRPr="003576AB">
        <w:rPr>
          <w:rFonts w:ascii="Times New Roman" w:hAnsi="Times New Roman" w:cs="Times New Roman"/>
          <w:color w:val="auto"/>
          <w:lang w:val="bg-BG"/>
        </w:rPr>
        <w:tab/>
      </w:r>
      <w:r w:rsidRPr="003576AB">
        <w:rPr>
          <w:rFonts w:ascii="Times New Roman" w:hAnsi="Times New Roman" w:cs="Times New Roman"/>
          <w:color w:val="auto"/>
          <w:lang w:val="bg-BG"/>
        </w:rPr>
        <w:tab/>
      </w:r>
      <w:r w:rsidRPr="003576AB">
        <w:rPr>
          <w:rFonts w:ascii="Times New Roman" w:hAnsi="Times New Roman" w:cs="Times New Roman"/>
          <w:color w:val="auto"/>
          <w:lang w:val="bg-BG"/>
        </w:rPr>
        <w:tab/>
        <w:t xml:space="preserve">                              </w:t>
      </w:r>
    </w:p>
    <w:p w14:paraId="47B12CEA" w14:textId="37D20BC8"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 xml:space="preserve">Динамичното развитие на процесите в областта на филмовата индустрия в световен мащаб през последните 15 години, както и множеството промени, наложени от законодателството на Европейския съюз, наложиха преразглеждане и преоценка на основни положения, заложени в Закона за филмовата индустрия, засягащи обхвата и процедурите, свързани с държавното подпомагане на производството, разпространението, промоцията, фестивалите и показа на филми. </w:t>
      </w:r>
    </w:p>
    <w:p w14:paraId="7314EA37"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 xml:space="preserve">Законът е приет през 2003г. и от тогава е претърпял няколко незначителни изменения. В същото време на глобално ниво промените са драстични – цялостна дигитализация на процесите, експоненциален ръст на обема на продукцията и съвършено нови бизнес и културни модели във филмовата индустрия. През 2005г. се създават едни от най-големите към този момент доставчици и производители на филми и сериали (YouTube и Amazon Prime, през 2010 HBO GO, стриминг платформата NETFLIX и др.). </w:t>
      </w:r>
    </w:p>
    <w:p w14:paraId="046A3EB0"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 xml:space="preserve">На национално ниво тези процеси, както и приватизирането на киностудия Бояна през 2006г. доведоха до бурното развитие на частния сектор в производството на филмово съдържание и създаване на многобройни обслужващи компании по веригата на производство. Тенденциите на развитие на европейската филмова индустрия в последните години отбелязват значително по-висок ръст на обществено финансиране на филмопроизводството и разпространението на аудио-визуални произведения, достъпа им до екран и развитие на публиката. Действащият към момента закон не отразява тези процеси при ангажимент на същия да развива и подпомага филмовата индустрия. </w:t>
      </w:r>
    </w:p>
    <w:p w14:paraId="7AF39F67"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 xml:space="preserve">За адаптирането на българската филмова индустрия към изискванията и реалностите на 2020 г. в предложението са направени промени в чл.17 в посока на увеличаване на финансирането на националното филмопроизводство, отделянето на подпомагането на фестивали и културни прояви в отделна схема, като и създаване на нова схема възстановяване на разходи, която има като ефект  стимулиране на инвестиции в сектора. </w:t>
      </w:r>
    </w:p>
    <w:p w14:paraId="6F373ED5"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p>
    <w:p w14:paraId="35725A81"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Промените, отнасящи се до националното филмопроизводство.</w:t>
      </w:r>
    </w:p>
    <w:p w14:paraId="7F06DAB4"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Промените заложени в чл. 17 и 18 от ЗФИ обосновават увеличение на бюджета за производство, разпространение, фестивали, културни прояви, промоция и показ в период от три години, в размер на 10 000 000 лв. годишно.</w:t>
      </w:r>
    </w:p>
    <w:p w14:paraId="45013569"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Предлаганото увеличение на субсидията за национално филмопроизводство е в резултат на три компонента: увеличаване на броя на филмите, нова методика за изчисляване на средностатистическия бюджет и допълнителен размер на финансиране от 15% по схемите по чл. 26, ал. 1, т. 3, 4 и 5 от законопроекта.</w:t>
      </w:r>
    </w:p>
    <w:p w14:paraId="5A6AC719"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След приемането на Закона за филмовата индустрия през 2003 г., в чл. 17, определящ минималния размер на държавната субсидия, броят филми е увеличен еднократно през 2007 г., от 5 на 7 игрални филма,  от 10 на 14 пълнометражни документални филма и от 120 на 160 минути анимация.</w:t>
      </w:r>
    </w:p>
    <w:p w14:paraId="4D64EEA3"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ab/>
        <w:t>Така определеният преди 12 години размер на финансиране към настоящия момент предопредели да  се произвеждат предимно камерни филми с ниска постановъчна сложност, със скромен декор и костюми, почти без специални ефекти, което ограничава визуалните им качества и ги поставя в неконкурентно положение спрямо съвременните изисквания в сектора. Това прави невъзможно създаването на исторически филми с висока постановъчна сложност, филми в условна реалност и  пълнометражни анимационни филми на съвременно технологично ниво – продукт, който отговаря на очакванията на българската и европейска публика.</w:t>
      </w:r>
    </w:p>
    <w:p w14:paraId="3423B3EA"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lastRenderedPageBreak/>
        <w:t xml:space="preserve">Същевременно тенденциите в Европа през този период задават други параметри на филмопроизводство. Броят на произведените пълнометражни игрални филми в Европейския съюз за 10 години се е увеличил с 50% по данни на Европейската аудивизуална обсерватория. Съотвeтно през 2007 година са произведени 1422 филма, а през 2016 година филмите са 2123. </w:t>
      </w:r>
    </w:p>
    <w:p w14:paraId="58B9E389"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В същия период в България са произведени през 2007 година – 10 броя, а през 2016 година - само 6 броя по данни на ИА НФЦ. Съответно делът на българските филми спрямо европейските е спаднал за разглеждания период от 0.7% на 0.28% т.е. 2.5 пъти. Това показва, че България губи значителни позиции и потенциал за присъствие на европейските екрани.</w:t>
      </w:r>
    </w:p>
    <w:p w14:paraId="6E5ADC34"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Въпреки това по данни на ИА НФЦ за последните години (2015-2019) отчетеният брой посещения в кината на български филми е нараснал над 4 пъти, което показва нуждата на българската публика от тях и държавната политика в областта следва да отговори на тази обществена потребност.  „Възвишение“ 139 731 зрители, „Бензин“ 98 862 зрители, „Воевода“ 87604 зрители, „Вездесъщият“ 47005 зрители, „Дъвка за балончета“ 44773 зрители, „Лили рибката“ 35095 зрители – филми подкрепени от ИА НФЦ и „Привличане“ 112934 зрители, „12 А“ 57593 зрители, „Революция Х“ 54575 зрители, „Нокаут или всичко, което тя написа“ 41836 зрители. Наблюдава се положителна тенденция и във международното представяне на българските филми на европейските фестивали – „Баща“ – голямата награда Кристален глобус за най-добър филм от фестивала в Карлови Вари, „Не ме докосвай“ – голямата награда Златна мечка от фестивала Берлинале, „Безбог“ – голямата награда Златен леопард на филмовият фестивал в Локарно, „АГА“– голямата награда Сърцето на Сараево от фестивала в Сараево, „Посоки“ – официална селекция „Особен поглед“ на фестивала в Кан. Това поставя името на България на сериозно място в европейската културна палитра.</w:t>
      </w:r>
    </w:p>
    <w:p w14:paraId="2EBEA423"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С развитието на филмовата индустрия от 2003 година до сега естествено са се появили нови форми на производство на филми, които създават многообразие на възможностите като финансиране и продължителност. Това в годините се е отразило в техническо несъвършенство при изчисляване на формулата на средностатистическия бюджет. Предложените промени целят да коригират това.</w:t>
      </w:r>
    </w:p>
    <w:p w14:paraId="62ABA642"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 xml:space="preserve"> Към момента определената съгласно чл. 17, ал. 1, т. 1 от ЗФИ държавна субсидия се разпределя, както следва - 85% за производство и 15% за разпространение, показ, промоция, фестивали и културни прояви. При изчисляване на размера на субсидията не се вземат предвид като показатели разпространението, показа, промоцията на филми,  фестивалите и културните прояви. При това положение размерът на субсидията, формиран, само на база филмопроизводство се разпределя и за другите три дейности – разпространение, фестивали/културни прояви,  показ и промоция, като по този начин реално се намалят средствата за филмопроизводство. С цел отстраняване на така установеното несъответствие и последствията от него, се предлага субсидията да се формира, като сбор от необходимите средства за производство на български филми, изчислени на база производство на 12 игрални филма, 24 документали филма и 250 минути анимация и към тях да се добавят 15% необходими за финансиране на дейностите по разпространение, показ, промоция, фестивали и културни прояви, като същите да бъдат извадени в отделно бюджетно перо. За тези дейности са регламентирани и предвидени отделни схеми за предоставяне на държавна помощ (чл. 26 от ЗИД на ЗФИ). </w:t>
      </w:r>
    </w:p>
    <w:p w14:paraId="6E16201E"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Предлаганата промяна ще доближи българската филмова индустрия до стандартите на Европейската практика и тенденции в областта и културните потребности на обществото. То ще е от съществено значение за оцеляване на националното филмово творчество, националната кино идентичност и запазване на културното разнообразие в рамките на Европейския съюз.</w:t>
      </w:r>
    </w:p>
    <w:p w14:paraId="61DB1F8C"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 xml:space="preserve">Осигуряването на средства за филмопроизводството предоставя възможност на продуцентите и авторите да обогатят жанрово и сюжетно филмите си. </w:t>
      </w:r>
    </w:p>
    <w:p w14:paraId="2E56396B"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Въвеждането на нова схема за държавно подпомагане по чл. 26, ал. 1, т. 2 от ЗФИ (разгледана в част II на настоящия доклад) е дългоочаквана промяна, която неминуемо ще доведе до положителен ефект, съответно до по-големи финансови постъпления в икономиката на страната, като същевременно с това ще окаже пряко влияние върху конкурентната среда.</w:t>
      </w:r>
    </w:p>
    <w:p w14:paraId="3CE58581"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 xml:space="preserve">Практиката в други европейски страни - Хърватска, Чехия, Румъния и др. , които са  изпреварили България с техните „финансови стимули“, показва, че заплащането на филмовите специалисти в по-високо бюджетните продукции, които навлизат в страната, се покачва значително. Това води до </w:t>
      </w:r>
      <w:r w:rsidRPr="003576AB">
        <w:rPr>
          <w:rFonts w:ascii="Times New Roman" w:hAnsi="Times New Roman" w:cs="Times New Roman"/>
          <w:color w:val="auto"/>
          <w:lang w:val="bg-BG"/>
        </w:rPr>
        <w:lastRenderedPageBreak/>
        <w:t>невъзможност за националните продукции с държавно финансиране да привлекат на пазарен принцип специалисти, както и необходимата техника за заснемането на филми. Реален е рискът малките национални предприятия да изпаднат в тежка неконкурентоспособност по отношение на големите инвеститори и по този начин да бъдат поставени в неравностойно положение в процеса на националното филмопроизводство.</w:t>
      </w:r>
    </w:p>
    <w:p w14:paraId="4C3F7237"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 xml:space="preserve">  Предлага се обособяване на нова схема за държавна помощ за фестивали и културни прояви при спазване на условията и сроковете на Регламент № 651/2014 г. в съответствие с чл. 53 от същия регламент.</w:t>
      </w:r>
    </w:p>
    <w:p w14:paraId="390D8558"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ab/>
        <w:t xml:space="preserve">Разработена е нова концепция, свързана с начина на сформиране на консултативно-експертните органи към изпълнителния директор на ИА „НФЦ“. Съставите на художествените комисии ще бъдат определяни от вписани в регистър експерти, които отговарят на определени условия. </w:t>
      </w:r>
    </w:p>
    <w:p w14:paraId="56C140E2"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ab/>
        <w:t xml:space="preserve">Предлага се съставите на тези комисии да бъдат намалени от 9 на 7 членове. </w:t>
      </w:r>
    </w:p>
    <w:p w14:paraId="4EE2F59E"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ab/>
        <w:t xml:space="preserve">Намалява се мандата на дейност на художествените комисии на 6 месеца. Условията и редът за водене на регистъра ще бъдат регламентирани с ППЗФИ.  </w:t>
      </w:r>
    </w:p>
    <w:p w14:paraId="73F58E3B"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ab/>
        <w:t>Създават се две нови комисии, с оглед регламентиране на схеми за държавна помощ по чл. 26, ал. 1, т. 2 и т. 4 от ЗФИ. Всяка от тях се предвижда да бъде с  по 5 членове, като и двете включват по двама външни експерти, а останалите членове са служители на Агенцията и на Министерството на културата. С цел постигане на оптимизация на дейността и създаване на необходимата оперативност при извършване на финансова оценка на проектите по всички схеми за държавна помощ (общо 5 бр.) се премахва финансовата комисия. Към настоящия момент тази комисия се състои от 7 членове, като 5 от тях са външни експерти. Предлага се финансовата оценка на проектите да бъде извършвана от служители от състава на ИА НФЦ. Посоченото ще наложи увеличаване на щатната численост на администрацията на Агенцията, като прогнозно за всички нови функции, за да бъдат осигурени ще бъдат необходими 8 щатни бройки.</w:t>
      </w:r>
    </w:p>
    <w:p w14:paraId="2E5E537D"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 xml:space="preserve">Намален е съставът на Националната комисия за категоризация на филми (съставите се намаляват от 8 бр.  на 5 бр. , а членовете от 7бр.  на 5бр. – за всеки състав). Промените предложени в чл. 11, ал. 1 относно намаляване на броя на членовете на комисията  са мотивирани от намаления брой филмови заглавия за разпространение на DVD носители.  През 2009 г. те са общо 155 бр., през 2010 г. – 10 бр., а през 2011 г. – 3 бр., през следващите години и до настоящия момент няма постъпили заявления за категоризация на филми на DVD - носители. Този факт обезсмисля съществуването на комисията в сегашния и вид – с 8 състава. От друга страна премиерните филмови заглавия на година са 210 бр. (т.е. около 17 бр. на месец), което обуславя  намаляването на членовете на тези комисии. </w:t>
      </w:r>
    </w:p>
    <w:p w14:paraId="73B5A52B"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Общият брой членове за всички комисии се намалява от 112 бр. на 78 бр.</w:t>
      </w:r>
    </w:p>
    <w:p w14:paraId="1A8E5CC2"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 xml:space="preserve">Предлага се разпространението и показът на филми, дублирани на български език, както и българските филми да имат и субтитрирана версия на български език (чл. 41, ал. 1). Предложението цели осигуряване на равен достъп на лица с нарушен слух до показ на филми в киносалоните. </w:t>
      </w:r>
    </w:p>
    <w:p w14:paraId="628934F3"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Направени са промени в детайли, свързани с културните критерий за оценка на проекти по чл. 27 от ЗФИ.</w:t>
      </w:r>
    </w:p>
    <w:p w14:paraId="44C12A24"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Регламентират се нивата на интензитетите на държавна помощ, освен за трудни филми и предпроизводствен етап и писане на сценарий, но и за трансгранични продукции, за дебютни филми, късометражни филми в съответствие с изискванията на чл. 54, т. 7 и 8 от Регламент № 651/2014 г.</w:t>
      </w:r>
    </w:p>
    <w:p w14:paraId="417A7514"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Въведена е забрана, свързана със заплащането на възнаграждение за ползвана техника, наричана VPF (Virtual Print Fee) такса или такса „виртуално копие“. Таксата за виртуално копие се събира от киносалоните от 2009 – 2010 г. с цел да се компенсира част от инвестицията на кината за закупуване на дигитални киномашини, като идеята е дистрибуторите да съдействат за дигитализацията на киносалоните, като внасят около половината от разликата в цената между дигитално копие и копие на кинолента. Таксата се заплаща само за първата седмица на програмиране, като по-нататъшната програмация зависи от търговския успех на филма. Мотивите за необоснованото договаряне на подобна такса и за  прекратяване на плащането на подобна такса са следните:</w:t>
      </w:r>
    </w:p>
    <w:p w14:paraId="11EA5D7B"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w:t>
      </w:r>
      <w:r w:rsidRPr="003576AB">
        <w:rPr>
          <w:rFonts w:ascii="Times New Roman" w:hAnsi="Times New Roman" w:cs="Times New Roman"/>
          <w:color w:val="auto"/>
          <w:lang w:val="bg-BG"/>
        </w:rPr>
        <w:tab/>
        <w:t>дигиталните машини, закупени през 2009-2010 г. вече са изплатени;</w:t>
      </w:r>
    </w:p>
    <w:p w14:paraId="6710E9A9"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w:t>
      </w:r>
      <w:r w:rsidRPr="003576AB">
        <w:rPr>
          <w:rFonts w:ascii="Times New Roman" w:hAnsi="Times New Roman" w:cs="Times New Roman"/>
          <w:color w:val="auto"/>
          <w:lang w:val="bg-BG"/>
        </w:rPr>
        <w:tab/>
        <w:t>киното отдавна е преминало в изцяло дигитален формат;</w:t>
      </w:r>
    </w:p>
    <w:p w14:paraId="0EE0D828"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lastRenderedPageBreak/>
        <w:t>-</w:t>
      </w:r>
      <w:r w:rsidRPr="003576AB">
        <w:rPr>
          <w:rFonts w:ascii="Times New Roman" w:hAnsi="Times New Roman" w:cs="Times New Roman"/>
          <w:color w:val="auto"/>
          <w:lang w:val="bg-BG"/>
        </w:rPr>
        <w:tab/>
        <w:t>новите кина се откриват със закупени налични дигитални машини.</w:t>
      </w:r>
    </w:p>
    <w:p w14:paraId="62D12F40"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Въпреки, че посочената таксата за виртуално копие е обект на свободно договаряне, въвеждането на изрична забрана ще ограничи възможностите за злоупотреби в такава насока.</w:t>
      </w:r>
    </w:p>
    <w:p w14:paraId="0E0E9759"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Преразгледани са важни законови дефиниции, като дефиницията за „филм“, средностатистически бюджет на игрален, документален и анимационен филм,  дебют и др.</w:t>
      </w:r>
    </w:p>
    <w:p w14:paraId="60D0F6CA"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Необходимо е осъвременяване на критериите за български и европейски филми, съответно на приложенията към посочените дефиниции. В сегашния си вариант, в приложението отсъстват позиции като „продуцент“, „български език“, „художник костюми“, „звукорежисьор на терен“, „гримьор“, липсва позиция като „снимки в България“, а постпродукцията не е диференцирана на „постпродукция звук“ и „постпродукция картина“, същото е и при монтажа - липсва разделяне на „монтажист“ и „монтаж - студио“. Подробното и диференцирано изброяване отразява по-точно и изчерпателно параметрите на една продукция и отразява по актуален начин практиките при копродукциите. Така, например, се дава възможност позицията „монтажист“ да е за единия копродуцент (за България, например), а „монтаж - студио“ да е за друг копродуцент (Дания, например); или „пост-продукция звук“ да е в едната страна , а „пост-продукция картина“ в другата.</w:t>
      </w:r>
    </w:p>
    <w:p w14:paraId="4B988BD5"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 xml:space="preserve">Измененията и допълненията относно дефиницията и критериите за европейски филм         (Приложение № 2 към § 1, т. 3, буква "а" от ЗФИ ) ще даде възможност за по-детайлна и точна оценка на включените европейски елементи в една продукция. Въвеждането на по-изчерпателно изброяване и позиции (като например въвеждането на позиции за гримьор, друг технически екип, наем на техника) ще придаде значение и стойност на работата на всички звена във филмопроизводството. </w:t>
      </w:r>
    </w:p>
    <w:p w14:paraId="36394C29"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p>
    <w:p w14:paraId="4F2B9C4E"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p>
    <w:p w14:paraId="57184D40"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II. На европейско ниво е признато голямото значение на творческите индустрии, в частност създаването на аудиовизуални произведения за оформяне на европейската идентичност, създаване на добавена стойност и развитие на икономиките на държавите - членки на ЕС. В тази връзка филмопроизводството се откроява предвид високите си разходи за създаване, културната и социално-икономическата му значимост и повишения риск при реализацията, като допринася за:</w:t>
      </w:r>
    </w:p>
    <w:p w14:paraId="5A588630"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промотиране на общоевропейски ценности;</w:t>
      </w:r>
    </w:p>
    <w:p w14:paraId="1120B589"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създаване на работни места, както в сектора на производство на аудио-визуални произведения, така и чрез ползване на съпътстващи услуги в широк кръг отрасли на производството и услугите;</w:t>
      </w:r>
    </w:p>
    <w:p w14:paraId="2EE0F0EF"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привличане на парични постъпления по линия на международни копродукции и на филмови продукции, които да се реализират на територията на държавите – членки.</w:t>
      </w:r>
    </w:p>
    <w:p w14:paraId="0687C217"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Същевременно пазарната конкуренция в производството на аудио-визуални произведения е излязла от рамките на свободния пазар и се подкрепя с допълнителни стимули от държавите, които желаят да привлекат чуждестранни продукции и международни проекти на своя територия. Със Съобщение 2013/C 332/01 на Европейската комисия относно държавната помощ за филми и други аудиовизуални произведения от 14.11.2013 г. специално се отбелязва ползата от въвеждането стиумли: т. 4.4/39/40/41 „От 2001 година насам държавите-членки започнаха въвеждането на схеми с цел да привлекат в Европа големи продукции, като се конкурираха на световно равнище с места и инфраструктури в Съединените щати, Канада, Нова Зеландия и Австралия. ….. тези продукции са били необходими, за да се поддържа висококачествена инфраструктура за аудиовизуални произведения, да се допринесе за използването на студия, оборудване и персонал от висока класа, както и да се благоприятства трансферът на технологии, ноухау и експертни познания. Частичното ползване на кинематографичните инфраструктури от чуждестранни продукции ще допринесе също за изграждането на капацитет за реализацията на висококачествени европейски продукции, радващи се на голям интерес…… много от филмите, които се считат за важни проекти на трети държави, всъщност представляват съвместни продукции с участието на европейски продуценти. По този начин държавните помощи ще допринесат и за промоцията на европейските аудиовизуални произведения и за поддържането на инфраструктурите за националните производства.“</w:t>
      </w:r>
    </w:p>
    <w:p w14:paraId="212DA7DA"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p>
    <w:p w14:paraId="6F8D1236"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 xml:space="preserve">Практиката от последните 10 години потвърди необходимостта от въвеждане и успешното функциониране на схемите за стимулиране на филмопроизводството. Доказателства  в тази посока </w:t>
      </w:r>
      <w:r w:rsidRPr="003576AB">
        <w:rPr>
          <w:rFonts w:ascii="Times New Roman" w:hAnsi="Times New Roman" w:cs="Times New Roman"/>
          <w:color w:val="auto"/>
          <w:lang w:val="bg-BG"/>
        </w:rPr>
        <w:lastRenderedPageBreak/>
        <w:t>представя следния сравнителен преглед, свързан с въвеждането на стимули в Европа, както и  в страни от Северна и Южна Америка, Австралия и др.</w:t>
      </w:r>
    </w:p>
    <w:p w14:paraId="12008E6B"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Към настоящия момент в световен аспект се прилагат няколко регулаторни инструмента, наричани стимули за филмовата индустрия и познати като:</w:t>
      </w:r>
    </w:p>
    <w:p w14:paraId="3A644875"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 Cash Rеbate - възстановяване на част от допустимите за производство на филми разходи, извършени на територията на дадена страна;</w:t>
      </w:r>
    </w:p>
    <w:p w14:paraId="343C8313"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 xml:space="preserve">- Данъчен кредит, чрез който се предлага намаляване на дължим корпоративен данък или връщане на данък и т.н. </w:t>
      </w:r>
    </w:p>
    <w:p w14:paraId="107D5030"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-Данъчен щит, при който на основаната на направените инвестиции, субектите се възползват от данъчни облекчения.</w:t>
      </w:r>
    </w:p>
    <w:p w14:paraId="327A0493"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По данни на една от водещите в световен мащаб консултантски компании в областта на творческите индустрии - Olsberg SPI (Великобритания), чиито клиенти са Европейската комисия, правителствени органи, държавни филмови комисии, частни компании, водещи разпространители и др., през 2019 г. вече 97 държави са въвели механизми на стимулиране на производството на аудиовизуални произведения, като превес се дава на механизма Cash Rеbate – възстановяване на част от допустимите за производство на филми разходи.</w:t>
      </w:r>
    </w:p>
    <w:p w14:paraId="0E0E4BA7"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p>
    <w:p w14:paraId="55790DBF"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 xml:space="preserve">Фиг. 1: Глобални стимули за филмопроизводство по тип </w:t>
      </w:r>
    </w:p>
    <w:p w14:paraId="20114E8D"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 xml:space="preserve"> </w:t>
      </w:r>
    </w:p>
    <w:p w14:paraId="52FF3BDB"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Източник: Глобален Индекс на Стимулите на OLSBERG SPI.Актуален към м. Май 2019. „Смесени“ реферира към системите или юрисдикциите, комбиниращи повече от един вид стимули.</w:t>
      </w:r>
    </w:p>
    <w:p w14:paraId="24A82916"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p>
    <w:p w14:paraId="623CF360"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 xml:space="preserve"> В Европа такава регулация са въвели: Австрия, Белгия, Хърватия, Кипър, Чехия, Естония Финландия, Франция Ирландия, Италия Литва, Германия, Исландия, Латвия, Холандия, Швейцария, Словения, Португалия и др., както и съответно съседните на нас държави като: Румъния, Гърция, Сърбия, Северна Македония и  Черна гора.</w:t>
      </w:r>
    </w:p>
    <w:p w14:paraId="5751A787"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Повечето от тях прилагат т.н. Cash Rеbate, а други поне два от разгледаните по-горе възможни стимули за насърчаване на филмопроизводството и привличане на чуждестранни инвестиции- данъчен кредит или данъчен щит.</w:t>
      </w:r>
    </w:p>
    <w:p w14:paraId="7294D755"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 xml:space="preserve">Всяка от държавите е разработила механизъм, който се отличава със специфики по отношение на видовете допустими разходи, общия процент на възстановени разходи и др. Размерът на възстановените разходи при някои от държавите е 20 % (Чехия, Латвия, Литва, Северна Македония), в други на 25% (Хърватия, Малта, Норвегия, Черна гора), като на места достига до 30 и 35 %, (Гърция, Румъния, Кипър, Естония, Холандия и др.) или надвишава този процент - Белгия (42%). </w:t>
      </w:r>
    </w:p>
    <w:p w14:paraId="5315CA4B"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 xml:space="preserve">Спецификите на всяка схема, определят и нейния годишен бюджет на разходите, като съответно предоставената от държавата годишна субсидия варира от около 2 до 50 млн. евро годишно. Така например: Естония (2 млн. EUR), Чехия (31.4 млн. EUR.), Хърватия (4,2 млн. EUR), Кипър (1,5млн. EUR), Гърция (72 млн.EUR), Сърбия (7 млн. EUR.), Румъния (51.9 млн. EUR), Словакия (4.6 млн. EUR), Унгария (402 млн. EUR за периода 2017-2019г). </w:t>
      </w:r>
    </w:p>
    <w:p w14:paraId="05FE872D"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Механизмите за финансиране чрез стимули са много подробно разработени и включват също така: изисквания към кандидатите, критерии за допустимост на проектите, изисквания за видовете допустими разходи и др. Стимулите се прилагат за производство на аудио-визуални произведения като пълнометражни игрални, документални и анимационни филми и телевизионни и анимационни сериали с определена продължителност на епизода. Посочените произведения преминават оценка като културни продукти, съобразно критерии, заложени от всяка държава. Изискването в тази насока произтича от разпоредбите на Регламент (ЕС) № 651/2014 на Комисията от 17 юни 2014 година за обявяване на някои категории помощи за съвместими с вътрешния пазар в приложение на членове 107 и 108 от Договора (Регламент (ЕС) № 651/2014).</w:t>
      </w:r>
    </w:p>
    <w:p w14:paraId="10947A5B"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 xml:space="preserve">Успоредното съществуване на схемите за национални произведения заедно със схемите за стимулиране на филмовата индустрия, е ясно очертано и прилагано успешно. Ето и примерите в някои от европейските държави: </w:t>
      </w:r>
    </w:p>
    <w:p w14:paraId="2B26A098"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 xml:space="preserve">Чехия: Чешкият филмов фонд управлява основно два бюджета и контролира две подорганизации </w:t>
      </w:r>
      <w:r w:rsidRPr="003576AB">
        <w:rPr>
          <w:rFonts w:ascii="Times New Roman" w:hAnsi="Times New Roman" w:cs="Times New Roman"/>
          <w:color w:val="auto"/>
          <w:lang w:val="bg-BG"/>
        </w:rPr>
        <w:lastRenderedPageBreak/>
        <w:t xml:space="preserve">- чрез "Чешкия филмов център" за селектирана помощ (производство на чешки игрални, документални, късометражни и т.н. филми, за развитие, за фестивали и т.н.) на стойност 14 500 000 евро годишно и чрез  Чешката филмова комисия-за привличане на чуждестранни филмови проекти в Чехия чрез инструмента за възстановяване на разходи на стойност 31 400 000 евро годишно. </w:t>
      </w:r>
    </w:p>
    <w:p w14:paraId="03EBAF27"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 xml:space="preserve">Хърватия: Хърватският аудиовизуален център управлява няколко схеми. Относно производството на филми, точно както и у нас, са те следните: Отделът за "Филмово производство и допълнителни услуги" управлява  схемите: Схема за подпомагане производството на игрални филми, Схема за подпомагане производството на дебютен игрален филм, Схема за подпомагане на игрални ко-продукции. Отделът "Filming in Croatia" управлява схемата за възстановяване на разходи за производство на филми в Хърватия от чуждестранни продуценти. </w:t>
      </w:r>
    </w:p>
    <w:p w14:paraId="03AB2D09"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 xml:space="preserve">Румъния: Румънският филмов център управлява две основни схеми - кредитна с 10 годишен безлихвен кредит за развитие и за производство на филми - игрални, документални, анимационни както късометражни, така и пълнометражни и т.н. и грантова - за филмови фестивали и за разпространение. Националната комисия за стратегии и прогнози управлява схемата за възстановяване на разходи, вложени в производство на филми от чуждестранни продуценти с бюджет 50 млн. евро годишно. </w:t>
      </w:r>
    </w:p>
    <w:p w14:paraId="58EB58C8"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 xml:space="preserve">Полша: Полският филмов институт управлява както схеми за финансиране  на производството на полски филми и други аудиовизуални продукти, разпространението им, участието им във фестивали и т.н. с годишен бюджет от 35 млн. евро, така и  схема за възстановяване на разходи към чуждестранни продуценти, заснели своите филми в Полша с бюджет от 48 млн. евро годишно. </w:t>
      </w:r>
    </w:p>
    <w:p w14:paraId="57B9D86E"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Посоченото показва, че приемането и администрирането на т.н. стимули, чрез схема за държавна помощ, паралелно със съществуващи схеми за държавна помощ за производство на филми в страни членки на ЕС, показва успешна практика, свързана с прилагането на различни по същността си механизми за финансиране на филмовата индустрия.</w:t>
      </w:r>
    </w:p>
    <w:p w14:paraId="0FB0E3C2"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p>
    <w:p w14:paraId="101E3D41"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Признати ефекти от въвеждането на стимулите:</w:t>
      </w:r>
    </w:p>
    <w:p w14:paraId="7320ADCB"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 xml:space="preserve">Активната политика на държавите в тази сфера е обусловена от широкия диапазон на  ефектите, които носи тази индустрия: икономически, културни, социални придобивки и др., изразяващи се във висока добавена стойност, работни места, повишаване на квалификацията на кадри в различни сектори на икономиката, свързани с производството на филми, културен туризъм и национално брандиране. </w:t>
      </w:r>
    </w:p>
    <w:p w14:paraId="47B83404"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p>
    <w:p w14:paraId="00B04D42"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Ръст във филмопроизводството</w:t>
      </w:r>
    </w:p>
    <w:p w14:paraId="06907B40"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 xml:space="preserve">Въвеждането на т.н. стимули е довело до ръст във филмопроизводството в редица страни. Филмовата индустрия в Чехия расте със средно 18% на година след въвеждане на финансови стимули. В годината след въвеждането им, разходите за филмови продукции в Хърватска се увеличават с 90%. </w:t>
      </w:r>
    </w:p>
    <w:p w14:paraId="6FD50869"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 xml:space="preserve">Фиг.3: Принос на предприятията от филмовата индустрия. </w:t>
      </w:r>
    </w:p>
    <w:p w14:paraId="5AB09864"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p>
    <w:p w14:paraId="43D312AA"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 xml:space="preserve"> </w:t>
      </w:r>
    </w:p>
    <w:p w14:paraId="137FD189"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p>
    <w:p w14:paraId="29963D14"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 xml:space="preserve">Позицията по ординатата показва съотношението процент на броя предприятия от филмовата индустрия спрямо общия брой на предприятията в съответната икономика. Обемът на сферите показва приноса към брутната добавена стойност на предприятията от филмовата индустрия. Видима е внушителната разлика между България – най-долу в ляво - и Унгария например – държава от източна Европа, но с въведени финансови стимули от повече от десетилетие - по отношение на приноса към брутната добавена стойност и по отношение на дела в броя на предприятията от филмовата индустрия в местната икономика. </w:t>
      </w:r>
    </w:p>
    <w:p w14:paraId="03B1E69C"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p>
    <w:p w14:paraId="5AE8A6F1"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Ръст на производителността на труда</w:t>
      </w:r>
    </w:p>
    <w:p w14:paraId="2A595534"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 xml:space="preserve">Производителността на труда в този отрасъл е сред относително високите в българската икономика: 19 629 евро на един зает и е на 25 място от 61 статистически раздела, които наблюдаваме </w:t>
      </w:r>
      <w:r w:rsidRPr="003576AB">
        <w:rPr>
          <w:rFonts w:ascii="Times New Roman" w:hAnsi="Times New Roman" w:cs="Times New Roman"/>
          <w:color w:val="auto"/>
          <w:lang w:val="bg-BG"/>
        </w:rPr>
        <w:lastRenderedPageBreak/>
        <w:t xml:space="preserve">– от добив на въглища до ветеринарно-медицинска дейност. За сравнение производителността на труда в сферата на филмовата индустрия е 5 пъти по-висока от тази в ресторантьорството, близо 4 пъти по-висока от тази в производство на облекло и 2 пъти по-висока от производителността на труда в раздели като производство на хранителни продукти или на текстил – все традиционни за нашата икономика отрасли. </w:t>
      </w:r>
    </w:p>
    <w:p w14:paraId="402663B6"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Сравнителният анализ на държави, в които има въведени финансови схеми за стимулиране на филмовата индустрия и такива, в които няма, показва, че обемът на филмовата индустрия (като % от БВП) е до 5 пъти по-голям, когато държавата предоставя финансови стимули . Можем да заключим, че въвеждането на финансови стимули за филмовата индустрия води и до ръст в нивата на заетост.</w:t>
      </w:r>
    </w:p>
    <w:p w14:paraId="1BCC2352"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 xml:space="preserve">Ефектът от въвеждане на схемата върху производителността на труда е представен в Таблица 2 е кратък анализ  на данни с източник доклад на ЕС: SME Performance Review, European Commission, 2019(https://ec.europa.eu/growth/smes/business-friendly-environment/performance-review_en) </w:t>
      </w:r>
    </w:p>
    <w:p w14:paraId="0173D157"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 xml:space="preserve">Табл.2 </w:t>
      </w:r>
    </w:p>
    <w:p w14:paraId="5332B432"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Производителност на труда в евро в раздел J59 за периода 2015-2019</w:t>
      </w:r>
      <w:r w:rsidRPr="003576AB">
        <w:rPr>
          <w:rFonts w:ascii="Times New Roman" w:hAnsi="Times New Roman" w:cs="Times New Roman"/>
          <w:color w:val="auto"/>
          <w:lang w:val="bg-BG"/>
        </w:rPr>
        <w:tab/>
        <w:t>Промяна в % 2015-2019</w:t>
      </w:r>
    </w:p>
    <w:p w14:paraId="5B37C7D7"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ab/>
        <w:t>2015</w:t>
      </w:r>
      <w:r w:rsidRPr="003576AB">
        <w:rPr>
          <w:rFonts w:ascii="Times New Roman" w:hAnsi="Times New Roman" w:cs="Times New Roman"/>
          <w:color w:val="auto"/>
          <w:lang w:val="bg-BG"/>
        </w:rPr>
        <w:tab/>
        <w:t>2016</w:t>
      </w:r>
      <w:r w:rsidRPr="003576AB">
        <w:rPr>
          <w:rFonts w:ascii="Times New Roman" w:hAnsi="Times New Roman" w:cs="Times New Roman"/>
          <w:color w:val="auto"/>
          <w:lang w:val="bg-BG"/>
        </w:rPr>
        <w:tab/>
        <w:t>2017</w:t>
      </w:r>
      <w:r w:rsidRPr="003576AB">
        <w:rPr>
          <w:rFonts w:ascii="Times New Roman" w:hAnsi="Times New Roman" w:cs="Times New Roman"/>
          <w:color w:val="auto"/>
          <w:lang w:val="bg-BG"/>
        </w:rPr>
        <w:tab/>
        <w:t>2018</w:t>
      </w:r>
      <w:r w:rsidRPr="003576AB">
        <w:rPr>
          <w:rFonts w:ascii="Times New Roman" w:hAnsi="Times New Roman" w:cs="Times New Roman"/>
          <w:color w:val="auto"/>
          <w:lang w:val="bg-BG"/>
        </w:rPr>
        <w:tab/>
        <w:t>2019</w:t>
      </w:r>
      <w:r w:rsidRPr="003576AB">
        <w:rPr>
          <w:rFonts w:ascii="Times New Roman" w:hAnsi="Times New Roman" w:cs="Times New Roman"/>
          <w:color w:val="auto"/>
          <w:lang w:val="bg-BG"/>
        </w:rPr>
        <w:tab/>
      </w:r>
    </w:p>
    <w:p w14:paraId="05FA7B12"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България</w:t>
      </w:r>
      <w:r w:rsidRPr="003576AB">
        <w:rPr>
          <w:rFonts w:ascii="Times New Roman" w:hAnsi="Times New Roman" w:cs="Times New Roman"/>
          <w:color w:val="auto"/>
          <w:lang w:val="bg-BG"/>
        </w:rPr>
        <w:tab/>
        <w:t>17494</w:t>
      </w:r>
      <w:r w:rsidRPr="003576AB">
        <w:rPr>
          <w:rFonts w:ascii="Times New Roman" w:hAnsi="Times New Roman" w:cs="Times New Roman"/>
          <w:color w:val="auto"/>
          <w:lang w:val="bg-BG"/>
        </w:rPr>
        <w:tab/>
        <w:t>17683</w:t>
      </w:r>
      <w:r w:rsidRPr="003576AB">
        <w:rPr>
          <w:rFonts w:ascii="Times New Roman" w:hAnsi="Times New Roman" w:cs="Times New Roman"/>
          <w:color w:val="auto"/>
          <w:lang w:val="bg-BG"/>
        </w:rPr>
        <w:tab/>
        <w:t>17562</w:t>
      </w:r>
      <w:r w:rsidRPr="003576AB">
        <w:rPr>
          <w:rFonts w:ascii="Times New Roman" w:hAnsi="Times New Roman" w:cs="Times New Roman"/>
          <w:color w:val="auto"/>
          <w:lang w:val="bg-BG"/>
        </w:rPr>
        <w:tab/>
        <w:t>18501</w:t>
      </w:r>
      <w:r w:rsidRPr="003576AB">
        <w:rPr>
          <w:rFonts w:ascii="Times New Roman" w:hAnsi="Times New Roman" w:cs="Times New Roman"/>
          <w:color w:val="auto"/>
          <w:lang w:val="bg-BG"/>
        </w:rPr>
        <w:tab/>
        <w:t>19629</w:t>
      </w:r>
      <w:r w:rsidRPr="003576AB">
        <w:rPr>
          <w:rFonts w:ascii="Times New Roman" w:hAnsi="Times New Roman" w:cs="Times New Roman"/>
          <w:color w:val="auto"/>
          <w:lang w:val="bg-BG"/>
        </w:rPr>
        <w:tab/>
        <w:t>+12,2</w:t>
      </w:r>
    </w:p>
    <w:p w14:paraId="75500D98"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Хърватия</w:t>
      </w:r>
      <w:r w:rsidRPr="003576AB">
        <w:rPr>
          <w:rFonts w:ascii="Times New Roman" w:hAnsi="Times New Roman" w:cs="Times New Roman"/>
          <w:color w:val="auto"/>
          <w:lang w:val="bg-BG"/>
        </w:rPr>
        <w:tab/>
        <w:t>29141</w:t>
      </w:r>
      <w:r w:rsidRPr="003576AB">
        <w:rPr>
          <w:rFonts w:ascii="Times New Roman" w:hAnsi="Times New Roman" w:cs="Times New Roman"/>
          <w:color w:val="auto"/>
          <w:lang w:val="bg-BG"/>
        </w:rPr>
        <w:tab/>
        <w:t>33433</w:t>
      </w:r>
      <w:r w:rsidRPr="003576AB">
        <w:rPr>
          <w:rFonts w:ascii="Times New Roman" w:hAnsi="Times New Roman" w:cs="Times New Roman"/>
          <w:color w:val="auto"/>
          <w:lang w:val="bg-BG"/>
        </w:rPr>
        <w:tab/>
        <w:t>35759</w:t>
      </w:r>
      <w:r w:rsidRPr="003576AB">
        <w:rPr>
          <w:rFonts w:ascii="Times New Roman" w:hAnsi="Times New Roman" w:cs="Times New Roman"/>
          <w:color w:val="auto"/>
          <w:lang w:val="bg-BG"/>
        </w:rPr>
        <w:tab/>
        <w:t>37146</w:t>
      </w:r>
      <w:r w:rsidRPr="003576AB">
        <w:rPr>
          <w:rFonts w:ascii="Times New Roman" w:hAnsi="Times New Roman" w:cs="Times New Roman"/>
          <w:color w:val="auto"/>
          <w:lang w:val="bg-BG"/>
        </w:rPr>
        <w:tab/>
        <w:t>38263</w:t>
      </w:r>
      <w:r w:rsidRPr="003576AB">
        <w:rPr>
          <w:rFonts w:ascii="Times New Roman" w:hAnsi="Times New Roman" w:cs="Times New Roman"/>
          <w:color w:val="auto"/>
          <w:lang w:val="bg-BG"/>
        </w:rPr>
        <w:tab/>
        <w:t>+31,3</w:t>
      </w:r>
    </w:p>
    <w:p w14:paraId="1B2678EE"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Чехия</w:t>
      </w:r>
      <w:r w:rsidRPr="003576AB">
        <w:rPr>
          <w:rFonts w:ascii="Times New Roman" w:hAnsi="Times New Roman" w:cs="Times New Roman"/>
          <w:color w:val="auto"/>
          <w:lang w:val="bg-BG"/>
        </w:rPr>
        <w:tab/>
        <w:t>23803</w:t>
      </w:r>
      <w:r w:rsidRPr="003576AB">
        <w:rPr>
          <w:rFonts w:ascii="Times New Roman" w:hAnsi="Times New Roman" w:cs="Times New Roman"/>
          <w:color w:val="auto"/>
          <w:lang w:val="bg-BG"/>
        </w:rPr>
        <w:tab/>
        <w:t>23985</w:t>
      </w:r>
      <w:r w:rsidRPr="003576AB">
        <w:rPr>
          <w:rFonts w:ascii="Times New Roman" w:hAnsi="Times New Roman" w:cs="Times New Roman"/>
          <w:color w:val="auto"/>
          <w:lang w:val="bg-BG"/>
        </w:rPr>
        <w:tab/>
        <w:t>27099</w:t>
      </w:r>
      <w:r w:rsidRPr="003576AB">
        <w:rPr>
          <w:rFonts w:ascii="Times New Roman" w:hAnsi="Times New Roman" w:cs="Times New Roman"/>
          <w:color w:val="auto"/>
          <w:lang w:val="bg-BG"/>
        </w:rPr>
        <w:tab/>
        <w:t>29591</w:t>
      </w:r>
      <w:r w:rsidRPr="003576AB">
        <w:rPr>
          <w:rFonts w:ascii="Times New Roman" w:hAnsi="Times New Roman" w:cs="Times New Roman"/>
          <w:color w:val="auto"/>
          <w:lang w:val="bg-BG"/>
        </w:rPr>
        <w:tab/>
        <w:t>30867</w:t>
      </w:r>
      <w:r w:rsidRPr="003576AB">
        <w:rPr>
          <w:rFonts w:ascii="Times New Roman" w:hAnsi="Times New Roman" w:cs="Times New Roman"/>
          <w:color w:val="auto"/>
          <w:lang w:val="bg-BG"/>
        </w:rPr>
        <w:tab/>
        <w:t>+29,7</w:t>
      </w:r>
    </w:p>
    <w:p w14:paraId="2DFA0DEA"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Унгария</w:t>
      </w:r>
      <w:r w:rsidRPr="003576AB">
        <w:rPr>
          <w:rFonts w:ascii="Times New Roman" w:hAnsi="Times New Roman" w:cs="Times New Roman"/>
          <w:color w:val="auto"/>
          <w:lang w:val="bg-BG"/>
        </w:rPr>
        <w:tab/>
        <w:t>23856</w:t>
      </w:r>
      <w:r w:rsidRPr="003576AB">
        <w:rPr>
          <w:rFonts w:ascii="Times New Roman" w:hAnsi="Times New Roman" w:cs="Times New Roman"/>
          <w:color w:val="auto"/>
          <w:lang w:val="bg-BG"/>
        </w:rPr>
        <w:tab/>
        <w:t>11144</w:t>
      </w:r>
      <w:r w:rsidRPr="003576AB">
        <w:rPr>
          <w:rFonts w:ascii="Times New Roman" w:hAnsi="Times New Roman" w:cs="Times New Roman"/>
          <w:color w:val="auto"/>
          <w:lang w:val="bg-BG"/>
        </w:rPr>
        <w:tab/>
        <w:t>33142</w:t>
      </w:r>
      <w:r w:rsidRPr="003576AB">
        <w:rPr>
          <w:rFonts w:ascii="Times New Roman" w:hAnsi="Times New Roman" w:cs="Times New Roman"/>
          <w:color w:val="auto"/>
          <w:lang w:val="bg-BG"/>
        </w:rPr>
        <w:tab/>
        <w:t>34858</w:t>
      </w:r>
      <w:r w:rsidRPr="003576AB">
        <w:rPr>
          <w:rFonts w:ascii="Times New Roman" w:hAnsi="Times New Roman" w:cs="Times New Roman"/>
          <w:color w:val="auto"/>
          <w:lang w:val="bg-BG"/>
        </w:rPr>
        <w:tab/>
        <w:t>36969</w:t>
      </w:r>
      <w:r w:rsidRPr="003576AB">
        <w:rPr>
          <w:rFonts w:ascii="Times New Roman" w:hAnsi="Times New Roman" w:cs="Times New Roman"/>
          <w:color w:val="auto"/>
          <w:lang w:val="bg-BG"/>
        </w:rPr>
        <w:tab/>
        <w:t>+55,0</w:t>
      </w:r>
    </w:p>
    <w:p w14:paraId="6CF4A079"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Великобритания</w:t>
      </w:r>
      <w:r w:rsidRPr="003576AB">
        <w:rPr>
          <w:rFonts w:ascii="Times New Roman" w:hAnsi="Times New Roman" w:cs="Times New Roman"/>
          <w:color w:val="auto"/>
          <w:lang w:val="bg-BG"/>
        </w:rPr>
        <w:tab/>
        <w:t>72471</w:t>
      </w:r>
      <w:r w:rsidRPr="003576AB">
        <w:rPr>
          <w:rFonts w:ascii="Times New Roman" w:hAnsi="Times New Roman" w:cs="Times New Roman"/>
          <w:color w:val="auto"/>
          <w:lang w:val="bg-BG"/>
        </w:rPr>
        <w:tab/>
        <w:t>85470</w:t>
      </w:r>
      <w:r w:rsidRPr="003576AB">
        <w:rPr>
          <w:rFonts w:ascii="Times New Roman" w:hAnsi="Times New Roman" w:cs="Times New Roman"/>
          <w:color w:val="auto"/>
          <w:lang w:val="bg-BG"/>
        </w:rPr>
        <w:tab/>
        <w:t>82535</w:t>
      </w:r>
      <w:r w:rsidRPr="003576AB">
        <w:rPr>
          <w:rFonts w:ascii="Times New Roman" w:hAnsi="Times New Roman" w:cs="Times New Roman"/>
          <w:color w:val="auto"/>
          <w:lang w:val="bg-BG"/>
        </w:rPr>
        <w:tab/>
        <w:t>85455</w:t>
      </w:r>
      <w:r w:rsidRPr="003576AB">
        <w:rPr>
          <w:rFonts w:ascii="Times New Roman" w:hAnsi="Times New Roman" w:cs="Times New Roman"/>
          <w:color w:val="auto"/>
          <w:lang w:val="bg-BG"/>
        </w:rPr>
        <w:tab/>
        <w:t>87923</w:t>
      </w:r>
      <w:r w:rsidRPr="003576AB">
        <w:rPr>
          <w:rFonts w:ascii="Times New Roman" w:hAnsi="Times New Roman" w:cs="Times New Roman"/>
          <w:color w:val="auto"/>
          <w:lang w:val="bg-BG"/>
        </w:rPr>
        <w:tab/>
        <w:t>+21,3</w:t>
      </w:r>
    </w:p>
    <w:p w14:paraId="7FBD3352"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Източник: SME Performance Review, European Commission, 2019</w:t>
      </w:r>
    </w:p>
    <w:p w14:paraId="1866CA40"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ab/>
        <w:t xml:space="preserve">Държавите, които имат финансови стимули за филмово производство производителността на труда расте, но с по-бързи темпове: в Хърватия с 31%, в Чехия с 30%, в Унгария с 55%, във Великобритания с 21%.  Данните показват съвсем ясно рязко изоставане на България в този сектор и тенденциите са тази „пропаст“ между страната ни и нашите конкуренти да се задълбочи. </w:t>
      </w:r>
    </w:p>
    <w:p w14:paraId="3A69BDA9"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 xml:space="preserve">Популяризирането на страната като туристическа дестинация </w:t>
      </w:r>
    </w:p>
    <w:p w14:paraId="059DD005"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С оглед на даденостите на страната като географско положение и туристическа дестинация,  реална е възможността България да заеме водещо място на пазара на кинематографски услуги. Привличането на световноизвестни имена (актьори, режисьори и др.), които да рекламират България като красиво и сигурно място с богата природа, храна и хора, оказва решаващо въздействие върху популяризирането на страната като туристическа дестинация.</w:t>
      </w:r>
    </w:p>
    <w:p w14:paraId="1241F835"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p>
    <w:p w14:paraId="07DBB910"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Състоянието в България:</w:t>
      </w:r>
    </w:p>
    <w:p w14:paraId="135749F2"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Въпреки, че България е известна като една от най-атрактивните държави за производство на филми със своята инфраструктура, природа, локации и компетентни екипи,  към настоящия момент големите проекти тревожно се отклоняват към съседните държави, които предлагат финансови стимули – Румъния, Гърция, Сърбия, Хърватия, Македония (по данни на компании от сектора). За 2019 година са привлечени от други и съседни на нас държави Румъния, Хърватска, Сърбия, Чехия и Унгария девет продукции с общ бюджет от 85 милиона евро, които биха ангажирали близо 4000 души в производство</w:t>
      </w:r>
    </w:p>
    <w:p w14:paraId="16BC860F"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Въвеждането на финансови стимули в България ще позволи бързото догонване на конкурентните държави по тези показатели. Българските предприятия в сектора ще се увеличат или ще се окрупнят, дори ще се появят нови предприятия, готови да създадат мощности „на зелено“ - строеж на нови студия и друга инфраструктура, а създадената добавена стойност ще нарасне, оттам и производителността на труда, като това ще обърне тенденциите.</w:t>
      </w:r>
    </w:p>
    <w:p w14:paraId="596FA951"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 xml:space="preserve">С въвеждането на стимули ще се увеличи и необходимостта от нови кадри, които ще бъдат обучени за тези специфични професии.  </w:t>
      </w:r>
    </w:p>
    <w:p w14:paraId="2BBF6749"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Ефектът върху пряко ангажираните в сферата субекти е ясно видим, при анализа на разпределението на основните пера в бюджета на една филмова продукция. А то е приблизително следното:</w:t>
      </w:r>
    </w:p>
    <w:p w14:paraId="68EA33B5"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 xml:space="preserve">Най-голям дял на разходите във филмовите проекти се отнася към категорията “Разходите за заплати и възнаграждения“ на филмовия екип (35-46%). По време на подготвителния период, </w:t>
      </w:r>
      <w:r w:rsidRPr="003576AB">
        <w:rPr>
          <w:rFonts w:ascii="Times New Roman" w:hAnsi="Times New Roman" w:cs="Times New Roman"/>
          <w:color w:val="auto"/>
          <w:lang w:val="bg-BG"/>
        </w:rPr>
        <w:lastRenderedPageBreak/>
        <w:t>снимачния период и при приключването на продукцията, биват заети средно между 200 – 800 души. Много често през периода на пост-продукция оказват услуги още 100 – 150 и повече хора, заети с монтажа на картината, звука и изработването визуалните ефекти (анимация).</w:t>
      </w:r>
    </w:p>
    <w:p w14:paraId="7BCE9EF0"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Като процентен дял от общия размер на разходите, категорията „Наеми на техника, оборудване и други“ се изравнява с възнагражденията на екипа. Освен техниката и оборудването за снимки, на място се наемат и закупуват стоки и вещи, необходими за гардероба и изработката на костюмите, реквизит, материали за филмовите декори, и др. Значителен дял от общия обем се нареждат и „транспортните разходи“, заемащи между 5-6% от бюджета,  разходите за друг вид услуги като кетъринг и крафт услуги, застраховки, охрана, медицинско обслужване и др.  които са между 6% и 10%.</w:t>
      </w:r>
    </w:p>
    <w:p w14:paraId="40B44484"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 xml:space="preserve">Пряко засегнати и потенциални кандидати по схема за възстановяване на разходи са предприятията от Раздел J59 (по КИД 2008) „Производство на филми, телевизионни предавания, звукозапис и издаване на музика“ . Това са продуценти, доставчици на услуги за производство на аудиовизуални произведения. По данни на НСИ за периода 2016 -2018г.  в секторите с код 59.11 -Производство на филми и телевизионни предавания и  код 59.12 -Технически дейности, свързани с производство на филми и телевизионни предавания (постпродукция) (по КИД 2008) в сектора средния брой на наети по трудови или извънтрудови правоотношения лица е 7700 .  </w:t>
      </w:r>
    </w:p>
    <w:p w14:paraId="5EB54202"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Табл.3</w:t>
      </w:r>
    </w:p>
    <w:p w14:paraId="6AB2408F"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година</w:t>
      </w:r>
      <w:r w:rsidRPr="003576AB">
        <w:rPr>
          <w:rFonts w:ascii="Times New Roman" w:hAnsi="Times New Roman" w:cs="Times New Roman"/>
          <w:color w:val="auto"/>
          <w:lang w:val="bg-BG"/>
        </w:rPr>
        <w:tab/>
        <w:t>2016</w:t>
      </w:r>
      <w:r w:rsidRPr="003576AB">
        <w:rPr>
          <w:rFonts w:ascii="Times New Roman" w:hAnsi="Times New Roman" w:cs="Times New Roman"/>
          <w:color w:val="auto"/>
          <w:lang w:val="bg-BG"/>
        </w:rPr>
        <w:tab/>
        <w:t>2017</w:t>
      </w:r>
      <w:r w:rsidRPr="003576AB">
        <w:rPr>
          <w:rFonts w:ascii="Times New Roman" w:hAnsi="Times New Roman" w:cs="Times New Roman"/>
          <w:color w:val="auto"/>
          <w:lang w:val="bg-BG"/>
        </w:rPr>
        <w:tab/>
        <w:t>2018</w:t>
      </w:r>
      <w:r w:rsidRPr="003576AB">
        <w:rPr>
          <w:rFonts w:ascii="Times New Roman" w:hAnsi="Times New Roman" w:cs="Times New Roman"/>
          <w:color w:val="auto"/>
          <w:lang w:val="bg-BG"/>
        </w:rPr>
        <w:tab/>
        <w:t xml:space="preserve">Средно за периода </w:t>
      </w:r>
    </w:p>
    <w:p w14:paraId="53639520"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среден брой заети</w:t>
      </w:r>
      <w:r w:rsidRPr="003576AB">
        <w:rPr>
          <w:rFonts w:ascii="Times New Roman" w:hAnsi="Times New Roman" w:cs="Times New Roman"/>
          <w:color w:val="auto"/>
          <w:lang w:val="bg-BG"/>
        </w:rPr>
        <w:tab/>
        <w:t>6331</w:t>
      </w:r>
      <w:r w:rsidRPr="003576AB">
        <w:rPr>
          <w:rFonts w:ascii="Times New Roman" w:hAnsi="Times New Roman" w:cs="Times New Roman"/>
          <w:color w:val="auto"/>
          <w:lang w:val="bg-BG"/>
        </w:rPr>
        <w:tab/>
        <w:t>7540</w:t>
      </w:r>
      <w:r w:rsidRPr="003576AB">
        <w:rPr>
          <w:rFonts w:ascii="Times New Roman" w:hAnsi="Times New Roman" w:cs="Times New Roman"/>
          <w:color w:val="auto"/>
          <w:lang w:val="bg-BG"/>
        </w:rPr>
        <w:tab/>
        <w:t>9431</w:t>
      </w:r>
      <w:r w:rsidRPr="003576AB">
        <w:rPr>
          <w:rFonts w:ascii="Times New Roman" w:hAnsi="Times New Roman" w:cs="Times New Roman"/>
          <w:color w:val="auto"/>
          <w:lang w:val="bg-BG"/>
        </w:rPr>
        <w:tab/>
        <w:t>7767</w:t>
      </w:r>
    </w:p>
    <w:p w14:paraId="2E5CCB09"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p>
    <w:p w14:paraId="38E5ED04"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 xml:space="preserve">Таблица 3 показва ръст на броя пряко заети в избрания период и съответно увеличаване на значимостта на филмопроизводствения сектор за националната икономика. </w:t>
      </w:r>
    </w:p>
    <w:p w14:paraId="67C276A3"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p>
    <w:p w14:paraId="2A4E304B"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Филмовото производство осигурява ангажираност на над 60 вида професии в страната и поръчки за множество малки и средни предприятия (МСП). Тук се включват предприятия от секторите „Преработваща промишленост“, „Транспорт“, „Хотелиерство и ресторантьорство“, „Строителство“, „Създаване и разпространение на информация и творчески продукти“, „Финансови и застрахователни дейности“ и др. Извадка от аналитичните счетоводни регистри на дружества от сектора показа ангажираността на български МСП, имали търговски отношения с производителите на някои по-големи чуждестранни филмови продукции, създадени в България:</w:t>
      </w:r>
    </w:p>
    <w:p w14:paraId="149F885D"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The Expendables 2: договори с 1892 МСП;</w:t>
      </w:r>
    </w:p>
    <w:p w14:paraId="473F0677"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Conan the Barbarian: договори с 1512 МСП;</w:t>
      </w:r>
    </w:p>
    <w:p w14:paraId="57E7E34A"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300: Rise of an Empire: договори с 1503 МСП.</w:t>
      </w:r>
    </w:p>
    <w:p w14:paraId="76076279"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Статистиката показва, че бюджетите на чуждестранните филмови продукции, вписани в регистъра по чл. 19, ал. 1 от ЗФИ за последния тригодишен период  (от 01.2016 до 06.2019 г.) средно  годишно  се регистрират 11 бр. чуждестранни продукция при средна годишна стойност на бюджетите им  - 111 060 277 лв.</w:t>
      </w:r>
    </w:p>
    <w:p w14:paraId="1459BEEF"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Данните на НСИ от сектор Раздел J59.11  (по КИД 2008)  в клас 15130 „Нетни приходи от продажби на услуги“ сочат, че нетните приходи от продажби само на филмопроизводствени услуги за 2018 г. е в размер на 177 359 000 лева. При предвиждан ръст в сектора от  40%, очакваните годишни приходи са в размер около  248 300 000 лева. При  наличие на  25% стимул, необходимия бюджет за обезпечаване на програмата, би бил 62 000 000 лева. Имайки предвид,  че част от приходите по код 15130 са получени от предприятия с дейност производство на телевизионни предавания, както и че не всички разходи за производство ще бъдат допустими и, че част от проектите няма да преминат изискванията за допустимост, необходимият стартов бюджет на схемата през първата година би следвало да е в размер 15 000 000 лева.</w:t>
      </w:r>
    </w:p>
    <w:p w14:paraId="51FE9DC8"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p>
    <w:p w14:paraId="2FF7DC05"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ab/>
        <w:t xml:space="preserve">Болшинството държави, въвели стимули в ЕС прилагат инструмента Cash Rebate. Всички те са хармонизирали националното си законодателство в съответствие с Регламент (ЕС) 651/2014, с изключение на няколко, които имат годишен размер на схемата надхвърлящ 50 000 000 EUR и преминават през процедура на  индивидуална нотификация към ЕК.  Докладът на ЕК  посочва,  че </w:t>
      </w:r>
      <w:r w:rsidRPr="003576AB">
        <w:rPr>
          <w:rFonts w:ascii="Times New Roman" w:hAnsi="Times New Roman" w:cs="Times New Roman"/>
          <w:color w:val="auto"/>
          <w:lang w:val="bg-BG"/>
        </w:rPr>
        <w:lastRenderedPageBreak/>
        <w:t xml:space="preserve">Cash rebate е предпочетения регулаторен инструмент  в сравнение с другите два. Причините за това е прозрачността и опростеността  на администриране на схемата.  </w:t>
      </w:r>
    </w:p>
    <w:p w14:paraId="52C087E7"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Намирането на алтернативни източници за финансиране на разходите по такъв тип схема, като например отчисления от продажби на билети в кината са неприложими при регулиране на настоящата схема, на база на получени данни от приходи от билети. Статистиката за приходите от продадени билети за всички филмови продукции(български и чуждестранни) в национален мащаб по данни на ИА НФЦ за последните 3 години показва, че стойността им рядко надхвърля 48 000 000 лв. годишно с вкл. ДДС, което показва че не биха могли да служат като база за прогнозиране на разход.</w:t>
      </w:r>
    </w:p>
    <w:p w14:paraId="3F2A8BD3"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p>
    <w:p w14:paraId="5E42EE80"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Година</w:t>
      </w:r>
      <w:r w:rsidRPr="003576AB">
        <w:rPr>
          <w:rFonts w:ascii="Times New Roman" w:hAnsi="Times New Roman" w:cs="Times New Roman"/>
          <w:color w:val="auto"/>
          <w:lang w:val="bg-BG"/>
        </w:rPr>
        <w:tab/>
        <w:t xml:space="preserve">Бруто приход </w:t>
      </w:r>
    </w:p>
    <w:p w14:paraId="48C47DF7"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 xml:space="preserve"> от продадени билети в лева                                   (с ДДС)</w:t>
      </w:r>
      <w:r w:rsidRPr="003576AB">
        <w:rPr>
          <w:rFonts w:ascii="Times New Roman" w:hAnsi="Times New Roman" w:cs="Times New Roman"/>
          <w:color w:val="auto"/>
          <w:lang w:val="bg-BG"/>
        </w:rPr>
        <w:tab/>
        <w:t>средна цена             на билет</w:t>
      </w:r>
      <w:r w:rsidRPr="003576AB">
        <w:rPr>
          <w:rFonts w:ascii="Times New Roman" w:hAnsi="Times New Roman" w:cs="Times New Roman"/>
          <w:color w:val="auto"/>
          <w:lang w:val="bg-BG"/>
        </w:rPr>
        <w:tab/>
      </w:r>
    </w:p>
    <w:p w14:paraId="352141ED"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до                         10.09.2019 г.</w:t>
      </w:r>
      <w:r w:rsidRPr="003576AB">
        <w:rPr>
          <w:rFonts w:ascii="Times New Roman" w:hAnsi="Times New Roman" w:cs="Times New Roman"/>
          <w:color w:val="auto"/>
          <w:lang w:val="bg-BG"/>
        </w:rPr>
        <w:tab/>
        <w:t>31,970,458</w:t>
      </w:r>
      <w:r w:rsidRPr="003576AB">
        <w:rPr>
          <w:rFonts w:ascii="Times New Roman" w:hAnsi="Times New Roman" w:cs="Times New Roman"/>
          <w:color w:val="auto"/>
          <w:lang w:val="bg-BG"/>
        </w:rPr>
        <w:tab/>
        <w:t>9.79 лв.</w:t>
      </w:r>
      <w:r w:rsidRPr="003576AB">
        <w:rPr>
          <w:rFonts w:ascii="Times New Roman" w:hAnsi="Times New Roman" w:cs="Times New Roman"/>
          <w:color w:val="auto"/>
          <w:lang w:val="bg-BG"/>
        </w:rPr>
        <w:tab/>
      </w:r>
    </w:p>
    <w:p w14:paraId="57EAE8BA"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2018 г.</w:t>
      </w:r>
      <w:r w:rsidRPr="003576AB">
        <w:rPr>
          <w:rFonts w:ascii="Times New Roman" w:hAnsi="Times New Roman" w:cs="Times New Roman"/>
          <w:color w:val="auto"/>
          <w:lang w:val="bg-BG"/>
        </w:rPr>
        <w:tab/>
        <w:t>46,036,035</w:t>
      </w:r>
      <w:r w:rsidRPr="003576AB">
        <w:rPr>
          <w:rFonts w:ascii="Times New Roman" w:hAnsi="Times New Roman" w:cs="Times New Roman"/>
          <w:color w:val="auto"/>
          <w:lang w:val="bg-BG"/>
        </w:rPr>
        <w:tab/>
        <w:t>9.39 лв.</w:t>
      </w:r>
      <w:r w:rsidRPr="003576AB">
        <w:rPr>
          <w:rFonts w:ascii="Times New Roman" w:hAnsi="Times New Roman" w:cs="Times New Roman"/>
          <w:color w:val="auto"/>
          <w:lang w:val="bg-BG"/>
        </w:rPr>
        <w:tab/>
      </w:r>
    </w:p>
    <w:p w14:paraId="69EF1A49"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2017 г.</w:t>
      </w:r>
      <w:r w:rsidRPr="003576AB">
        <w:rPr>
          <w:rFonts w:ascii="Times New Roman" w:hAnsi="Times New Roman" w:cs="Times New Roman"/>
          <w:color w:val="auto"/>
          <w:lang w:val="bg-BG"/>
        </w:rPr>
        <w:tab/>
        <w:t>50,700,402</w:t>
      </w:r>
      <w:r w:rsidRPr="003576AB">
        <w:rPr>
          <w:rFonts w:ascii="Times New Roman" w:hAnsi="Times New Roman" w:cs="Times New Roman"/>
          <w:color w:val="auto"/>
          <w:lang w:val="bg-BG"/>
        </w:rPr>
        <w:tab/>
        <w:t>9.10 лв.</w:t>
      </w:r>
      <w:r w:rsidRPr="003576AB">
        <w:rPr>
          <w:rFonts w:ascii="Times New Roman" w:hAnsi="Times New Roman" w:cs="Times New Roman"/>
          <w:color w:val="auto"/>
          <w:lang w:val="bg-BG"/>
        </w:rPr>
        <w:tab/>
      </w:r>
    </w:p>
    <w:p w14:paraId="14D03FE2"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2016 г.</w:t>
      </w:r>
      <w:r w:rsidRPr="003576AB">
        <w:rPr>
          <w:rFonts w:ascii="Times New Roman" w:hAnsi="Times New Roman" w:cs="Times New Roman"/>
          <w:color w:val="auto"/>
          <w:lang w:val="bg-BG"/>
        </w:rPr>
        <w:tab/>
        <w:t>48,424,171</w:t>
      </w:r>
      <w:r w:rsidRPr="003576AB">
        <w:rPr>
          <w:rFonts w:ascii="Times New Roman" w:hAnsi="Times New Roman" w:cs="Times New Roman"/>
          <w:color w:val="auto"/>
          <w:lang w:val="bg-BG"/>
        </w:rPr>
        <w:tab/>
        <w:t>8.75 лв.</w:t>
      </w:r>
      <w:r w:rsidRPr="003576AB">
        <w:rPr>
          <w:rFonts w:ascii="Times New Roman" w:hAnsi="Times New Roman" w:cs="Times New Roman"/>
          <w:color w:val="auto"/>
          <w:lang w:val="bg-BG"/>
        </w:rPr>
        <w:tab/>
      </w:r>
    </w:p>
    <w:p w14:paraId="142F8105"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2015 г.</w:t>
      </w:r>
      <w:r w:rsidRPr="003576AB">
        <w:rPr>
          <w:rFonts w:ascii="Times New Roman" w:hAnsi="Times New Roman" w:cs="Times New Roman"/>
          <w:color w:val="auto"/>
          <w:lang w:val="bg-BG"/>
        </w:rPr>
        <w:tab/>
        <w:t>45,878,882</w:t>
      </w:r>
      <w:r w:rsidRPr="003576AB">
        <w:rPr>
          <w:rFonts w:ascii="Times New Roman" w:hAnsi="Times New Roman" w:cs="Times New Roman"/>
          <w:color w:val="auto"/>
          <w:lang w:val="bg-BG"/>
        </w:rPr>
        <w:tab/>
        <w:t>8.60 лв.</w:t>
      </w:r>
      <w:r w:rsidRPr="003576AB">
        <w:rPr>
          <w:rFonts w:ascii="Times New Roman" w:hAnsi="Times New Roman" w:cs="Times New Roman"/>
          <w:color w:val="auto"/>
          <w:lang w:val="bg-BG"/>
        </w:rPr>
        <w:tab/>
      </w:r>
    </w:p>
    <w:p w14:paraId="7D754DF7"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 xml:space="preserve">Табл.4 Данни  на ИА „НФЦ“ за приходите от киноразпространиние  приходите от билети за четиригодишен период 2015-2019 г. </w:t>
      </w:r>
    </w:p>
    <w:p w14:paraId="183D02EE"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p>
    <w:p w14:paraId="77A62439"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Принципът на действие на схемата се основана на следното:</w:t>
      </w:r>
    </w:p>
    <w:p w14:paraId="3BC88EA7"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 xml:space="preserve">Вложените частни средства в производството на аудио-визуално произведение подлежат на частично възстановяване от държавата в процент, определен от съответната държава, прилагаща такъв вид схема за държавна помощ. Допустими за възстановяване са само определен вид разходи,  извършени на територията на съответната държава с цел производство на аудио-визуално произведение. За администратора възниква задължение за изплащане чак след като инвестицията е направена и в доказателство са приложени всички документи за направени разходи, включително за заплатени дължими данъци и осигурителни вноски. </w:t>
      </w:r>
    </w:p>
    <w:p w14:paraId="18155E88"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Този тип стимулиране насърчава продуцентите отново и отново да избират същата държава при производството на следващите си аудио-визуални произведения. В тази връзка стимулите се явяват решаващ фактор, за това къде да бъде осъществен снимачния период на филма, както и да бъдат извършени други дейности, свързани с производството на филма.</w:t>
      </w:r>
    </w:p>
    <w:p w14:paraId="06D85449"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С оглед на представения анализ относно необходимостта за въвеждане на регулация, свързана със стимули за филмовата индустрия  се предлага:</w:t>
      </w:r>
    </w:p>
    <w:p w14:paraId="342635EF"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 xml:space="preserve">С допълнение в чл. 26, ал. 1 от ЗФИ се въвежда нова схема за държавна помощ за възстановяване на разходи за производство на аудио-визуални произведения при спазване на изискванията и сроковете на Регламент № 651/2014 г. </w:t>
      </w:r>
    </w:p>
    <w:p w14:paraId="38EFDB41"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Създадена е нова глава пета „а“ в Закона за филмовата индустрия с наименование: „Възстановяване на разходи за производство на аудио-визуални произведения“. Регламентирани са изисквания за кандидатстване по новопредлаганата схема, като допустимост на заявителите по процедурата, допустими проекти и изпълнение на културни критерии и др.</w:t>
      </w:r>
    </w:p>
    <w:p w14:paraId="64BB26C0"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По процедурата могат да кандидатстват продуцент, копродуцент и доставчик на филмопроизводствени услуги. Въведени са изключения по отношение на заявителите, чрез които се разширява обхвата на кандидатстващите лица.</w:t>
      </w:r>
    </w:p>
    <w:p w14:paraId="7ACA814B"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Регламентирани са видовете произведения, които са допустими за финансиране (чл. 35е, ал. 2). Те са:</w:t>
      </w:r>
    </w:p>
    <w:p w14:paraId="45CF0984"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1. игрален филм с продължителност над 70 минути;</w:t>
      </w:r>
    </w:p>
    <w:p w14:paraId="32ACDCC1"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2. документален филм с продължителност над 70 минути или документален сериал;</w:t>
      </w:r>
    </w:p>
    <w:p w14:paraId="2C9D9CC0"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 xml:space="preserve">3. анимационен филм или анимационен сериал с обща продължителност над 24 минути; </w:t>
      </w:r>
    </w:p>
    <w:p w14:paraId="359333EA"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4.телевизионен филм или телевизионен сериал с времетраене на всеки епизод над 40 минути;</w:t>
      </w:r>
    </w:p>
    <w:p w14:paraId="6B3B5A64"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p>
    <w:p w14:paraId="5F07ABFB"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 xml:space="preserve">Произведенията, с които се кандидатства преминават тест, който съдържа културни  критерии и критерии, свързани с икономическия принос на продукцията. Основните културни критерии </w:t>
      </w:r>
      <w:r w:rsidRPr="003576AB">
        <w:rPr>
          <w:rFonts w:ascii="Times New Roman" w:hAnsi="Times New Roman" w:cs="Times New Roman"/>
          <w:color w:val="auto"/>
          <w:lang w:val="bg-BG"/>
        </w:rPr>
        <w:lastRenderedPageBreak/>
        <w:t>заложени в теста и подробно регламентирани с ППЗФИ са: насърчаване на произведения, чийто сценарии, главен герой или второстепенните герои са пряко свързани с културата, историята, митологиите или религиите в България или Европа, автора на произведението е гражданин на страни от Европа или България, окончателната версия на произведението е на един от официалните езици на ЕС, популяризира се българската или европейската културна идентичност, произведението отразява значими български или европейски ценности, съдържа иновации. Паралелно с посочените критерии на оценяване като икономически критерии ще подлежат: принадлежността на екипа към страна на ЕС или България, осъществяване на снимките на територията на България (брой снимачни дни) и осъществяване на постпродукцията на територията на България.</w:t>
      </w:r>
    </w:p>
    <w:p w14:paraId="445DAD8D"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Предлага се да бъде въведена забрана, съответно да бъдат наложени ограничения за произведения, които може да доведат до уронване авторитета на Република България или българската нация, насочени са срещу правовия ред или конституционните принципи, приканват към война, расизъм, прояви на национализъм, религиозна омраза и национален сепаратизъм, включват или насърчават прояви на дискриминация и др.</w:t>
      </w:r>
    </w:p>
    <w:p w14:paraId="58D7CD3E"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Освен посоченото е извършен преглед на съществуващите дефиниции, въведени са нови дефиниции за целите на предлаганата нова схема за държавна помощ, като тоук-шоу, дневна драма, риалити шоу и др. Такъв вид произведения няма да бъдат допустими за финансиране.</w:t>
      </w:r>
    </w:p>
    <w:p w14:paraId="69E9A740"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p>
    <w:p w14:paraId="43C23963"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Регламентирани са следните финансови параметри на схемата:</w:t>
      </w:r>
    </w:p>
    <w:p w14:paraId="0D205D77"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На възстановяване подлежат:</w:t>
      </w:r>
    </w:p>
    <w:p w14:paraId="2DAE512F"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1. разходи в размер на 25 процента от всички допустими разходи за производството на  аудио-визуално произведение по чл. 35е, ал. 2, свързани с доставка на стоки и услуги, предоставени в Република България от физически и юридически лица, регистрирани по българското законодателство;</w:t>
      </w:r>
    </w:p>
    <w:p w14:paraId="136D3F56"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2. разходи в размер на 25 процента от всички допустими разходи за производството на  аудио-визуално произведение по чл. 35е, ал. 2, свързани с услуги, предоставени в Република България от физически лица, регистрирани по законодателството на държава-членка на Европейския съюз, или на друга държава-страна по Споразумението за Европейското икономическо пространство, или на Конфедерация Швейцария, чийто доход, генериран от източник в Република България е обложен с окончателен данък по българското законодателство;</w:t>
      </w:r>
    </w:p>
    <w:p w14:paraId="61236FC0"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Предлага се размерът на годишна субсидия за схемата да бъде установен със Закона за държавния бюджет на Република България за съответната година.</w:t>
      </w:r>
    </w:p>
    <w:p w14:paraId="27830AB8"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 xml:space="preserve">Предвижда се редът за кандидатстване по схема за възстановяване на разходи да бъде разписан в детайли в акт на Министерския съвет с Постановление за изменение и допълнение на Правилника за прилагане на Закона за филмовата индустрия, като съответно влизането на новата схема в сила ще бъде обвързано с влизането в сила на това постановление. В аналогичен план се разглежда и промяната, свързана със схемата за държавна помощ за фестивали и културни прояви, която се предлага да бъде регламентирана при условията на чл. 53 от Регламент № 651/2014 г. </w:t>
      </w:r>
    </w:p>
    <w:p w14:paraId="693EF2E2"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 xml:space="preserve">Към предложения проект на акт е приложена необходимата финансова обосновка за актове, които ще доведат до въздействие върху държавния бюджет, съгласно чл. 35, ал. 1, т. 4, б. „а” от Устройствения правилник на Министерския съвет и на неговата администрация. </w:t>
      </w:r>
    </w:p>
    <w:p w14:paraId="2EF8B13A"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p>
    <w:p w14:paraId="15B3D1D8"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 xml:space="preserve">Съгласно чл. 27 от Закона за държавните помощи администраторът на помощ е длъжен предварително да информира и да съгласува с министъра на финансите всяко намерение за предоставяне на нова държавна помощ и за изменение на съществуваща държавна помощ, когато държавната помощ попада в обхвата на общ регламент за групово освобождаване. В съответствие с посоченото изискване е получена положителна оценка и становище от министъра на финансите по предлагания законопроект съгласно чл. 30 от Закона за държавните помощи.  </w:t>
      </w:r>
    </w:p>
    <w:p w14:paraId="2E8601CB"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В изпълнение на чл. 20, ал. 2 от Закона за нормативните актове е извършена частична предварителна оценка на въздействието. Съгласно чл. 30б от Устройствения правилник на Министерския съвет и на неговата администрация, оценката на въздействие на Законопроекта е съгласувана с дирекция „Модернизация на администрацията”.</w:t>
      </w:r>
    </w:p>
    <w:p w14:paraId="65FF96AB"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 xml:space="preserve">В изпълнение на чл. 26, ал. 3 от Закона за нормативните актове, проектът е публикуван на </w:t>
      </w:r>
      <w:r w:rsidRPr="003576AB">
        <w:rPr>
          <w:rFonts w:ascii="Times New Roman" w:hAnsi="Times New Roman" w:cs="Times New Roman"/>
          <w:color w:val="auto"/>
          <w:lang w:val="bg-BG"/>
        </w:rPr>
        <w:lastRenderedPageBreak/>
        <w:t xml:space="preserve">интернет  страницата на  Министерството на културата и на Портала за обществени консултации за срок от 30 дни. </w:t>
      </w:r>
    </w:p>
    <w:p w14:paraId="19441ABB"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r w:rsidRPr="003576AB">
        <w:rPr>
          <w:rFonts w:ascii="Times New Roman" w:hAnsi="Times New Roman" w:cs="Times New Roman"/>
          <w:color w:val="auto"/>
          <w:lang w:val="bg-BG"/>
        </w:rPr>
        <w:t>Към материалите е приложена Справка за съответствието с Конвенцията за защита на правата на човека и основните свободи и с практиката на Европейския съд по правата на човека съгласно чл. 28, ал. 3 от Закона за нормативните актове, изготвена от Министерството на правосъдието.</w:t>
      </w:r>
    </w:p>
    <w:p w14:paraId="30D8EF1F"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p>
    <w:p w14:paraId="0D5A32A2" w14:textId="77777777" w:rsidR="003576AB" w:rsidRPr="003576AB" w:rsidRDefault="003576AB" w:rsidP="003576AB">
      <w:pPr>
        <w:tabs>
          <w:tab w:val="left" w:pos="630"/>
          <w:tab w:val="left" w:pos="990"/>
        </w:tabs>
        <w:ind w:firstLine="450"/>
        <w:jc w:val="both"/>
        <w:rPr>
          <w:rFonts w:ascii="Times New Roman" w:hAnsi="Times New Roman" w:cs="Times New Roman"/>
          <w:color w:val="auto"/>
          <w:lang w:val="bg-BG"/>
        </w:rPr>
      </w:pPr>
    </w:p>
    <w:p w14:paraId="6EDDA703" w14:textId="77777777" w:rsidR="003576AB" w:rsidRDefault="003576AB" w:rsidP="003576AB">
      <w:pPr>
        <w:tabs>
          <w:tab w:val="left" w:pos="630"/>
          <w:tab w:val="left" w:pos="990"/>
        </w:tabs>
        <w:ind w:firstLine="450"/>
        <w:jc w:val="both"/>
        <w:rPr>
          <w:rFonts w:ascii="Times New Roman" w:hAnsi="Times New Roman" w:cs="Times New Roman"/>
          <w:b/>
          <w:color w:val="auto"/>
          <w:lang w:val="bg-BG"/>
        </w:rPr>
      </w:pPr>
    </w:p>
    <w:p w14:paraId="485D21D0" w14:textId="77777777" w:rsidR="003576AB" w:rsidRDefault="003576AB" w:rsidP="003576AB">
      <w:pPr>
        <w:tabs>
          <w:tab w:val="left" w:pos="630"/>
          <w:tab w:val="left" w:pos="990"/>
        </w:tabs>
        <w:ind w:firstLine="450"/>
        <w:jc w:val="both"/>
        <w:rPr>
          <w:rFonts w:ascii="Times New Roman" w:hAnsi="Times New Roman" w:cs="Times New Roman"/>
          <w:b/>
          <w:color w:val="auto"/>
          <w:lang w:val="bg-BG"/>
        </w:rPr>
      </w:pPr>
    </w:p>
    <w:p w14:paraId="37E70EFE" w14:textId="77777777" w:rsidR="003576AB" w:rsidRDefault="003576AB" w:rsidP="003576AB">
      <w:pPr>
        <w:tabs>
          <w:tab w:val="left" w:pos="630"/>
          <w:tab w:val="left" w:pos="990"/>
        </w:tabs>
        <w:ind w:firstLine="450"/>
        <w:jc w:val="both"/>
        <w:rPr>
          <w:rFonts w:ascii="Times New Roman" w:hAnsi="Times New Roman" w:cs="Times New Roman"/>
          <w:b/>
          <w:color w:val="auto"/>
          <w:lang w:val="bg-BG"/>
        </w:rPr>
      </w:pPr>
      <w:bookmarkStart w:id="1" w:name="_GoBack"/>
      <w:bookmarkEnd w:id="1"/>
    </w:p>
    <w:p w14:paraId="3636E55D" w14:textId="77777777" w:rsidR="003576AB" w:rsidRDefault="003576AB" w:rsidP="003576AB">
      <w:pPr>
        <w:tabs>
          <w:tab w:val="left" w:pos="630"/>
          <w:tab w:val="left" w:pos="990"/>
        </w:tabs>
        <w:ind w:firstLine="450"/>
        <w:jc w:val="both"/>
        <w:rPr>
          <w:rFonts w:ascii="Times New Roman" w:hAnsi="Times New Roman" w:cs="Times New Roman"/>
          <w:b/>
          <w:color w:val="auto"/>
          <w:lang w:val="bg-BG"/>
        </w:rPr>
      </w:pPr>
    </w:p>
    <w:p w14:paraId="7309F860" w14:textId="77777777" w:rsidR="003576AB" w:rsidRDefault="003576AB" w:rsidP="003576AB">
      <w:pPr>
        <w:tabs>
          <w:tab w:val="left" w:pos="630"/>
          <w:tab w:val="left" w:pos="990"/>
        </w:tabs>
        <w:ind w:firstLine="450"/>
        <w:jc w:val="both"/>
        <w:rPr>
          <w:rFonts w:ascii="Times New Roman" w:hAnsi="Times New Roman" w:cs="Times New Roman"/>
          <w:b/>
          <w:color w:val="auto"/>
          <w:lang w:val="bg-BG"/>
        </w:rPr>
      </w:pPr>
    </w:p>
    <w:p w14:paraId="15621900" w14:textId="6F65D6B6" w:rsidR="003576AB" w:rsidRPr="003576AB" w:rsidRDefault="003576AB" w:rsidP="003576AB">
      <w:pPr>
        <w:tabs>
          <w:tab w:val="left" w:pos="630"/>
          <w:tab w:val="left" w:pos="990"/>
        </w:tabs>
        <w:ind w:firstLine="450"/>
        <w:jc w:val="both"/>
        <w:rPr>
          <w:rFonts w:ascii="Times New Roman" w:hAnsi="Times New Roman" w:cs="Times New Roman"/>
          <w:b/>
          <w:color w:val="auto"/>
          <w:lang w:val="bg-BG"/>
        </w:rPr>
      </w:pPr>
      <w:r w:rsidRPr="003576AB">
        <w:rPr>
          <w:rFonts w:ascii="Times New Roman" w:hAnsi="Times New Roman" w:cs="Times New Roman"/>
          <w:b/>
          <w:color w:val="auto"/>
          <w:lang w:val="bg-BG"/>
        </w:rPr>
        <w:t>МИНИСТЪР-ПРЕДСЕДАТЕЛ</w:t>
      </w:r>
      <w:r>
        <w:rPr>
          <w:rFonts w:ascii="Times New Roman" w:hAnsi="Times New Roman" w:cs="Times New Roman"/>
          <w:b/>
          <w:color w:val="auto"/>
          <w:lang w:val="bg-BG"/>
        </w:rPr>
        <w:t>:</w:t>
      </w:r>
    </w:p>
    <w:p w14:paraId="5855376F" w14:textId="511006B1" w:rsidR="003576AB" w:rsidRPr="003576AB" w:rsidRDefault="003576AB" w:rsidP="003576AB">
      <w:pPr>
        <w:tabs>
          <w:tab w:val="left" w:pos="630"/>
          <w:tab w:val="left" w:pos="990"/>
        </w:tabs>
        <w:ind w:firstLine="450"/>
        <w:jc w:val="both"/>
        <w:rPr>
          <w:rFonts w:ascii="Times New Roman" w:hAnsi="Times New Roman" w:cs="Times New Roman"/>
          <w:b/>
          <w:color w:val="auto"/>
          <w:lang w:val="bg-BG"/>
        </w:rPr>
      </w:pPr>
      <w:r>
        <w:rPr>
          <w:rFonts w:ascii="Times New Roman" w:hAnsi="Times New Roman" w:cs="Times New Roman"/>
          <w:b/>
          <w:color w:val="auto"/>
          <w:lang w:val="bg-BG"/>
        </w:rPr>
        <w:tab/>
      </w:r>
      <w:r>
        <w:rPr>
          <w:rFonts w:ascii="Times New Roman" w:hAnsi="Times New Roman" w:cs="Times New Roman"/>
          <w:b/>
          <w:color w:val="auto"/>
          <w:lang w:val="bg-BG"/>
        </w:rPr>
        <w:tab/>
      </w:r>
      <w:r>
        <w:rPr>
          <w:rFonts w:ascii="Times New Roman" w:hAnsi="Times New Roman" w:cs="Times New Roman"/>
          <w:b/>
          <w:color w:val="auto"/>
          <w:lang w:val="bg-BG"/>
        </w:rPr>
        <w:tab/>
      </w:r>
      <w:r>
        <w:rPr>
          <w:rFonts w:ascii="Times New Roman" w:hAnsi="Times New Roman" w:cs="Times New Roman"/>
          <w:b/>
          <w:color w:val="auto"/>
          <w:lang w:val="bg-BG"/>
        </w:rPr>
        <w:tab/>
      </w:r>
      <w:r>
        <w:rPr>
          <w:rFonts w:ascii="Times New Roman" w:hAnsi="Times New Roman" w:cs="Times New Roman"/>
          <w:b/>
          <w:color w:val="auto"/>
          <w:lang w:val="bg-BG"/>
        </w:rPr>
        <w:tab/>
      </w:r>
      <w:r>
        <w:rPr>
          <w:rFonts w:ascii="Times New Roman" w:hAnsi="Times New Roman" w:cs="Times New Roman"/>
          <w:b/>
          <w:color w:val="auto"/>
          <w:lang w:val="bg-BG"/>
        </w:rPr>
        <w:tab/>
      </w:r>
      <w:r>
        <w:rPr>
          <w:rFonts w:ascii="Times New Roman" w:hAnsi="Times New Roman" w:cs="Times New Roman"/>
          <w:b/>
          <w:color w:val="auto"/>
          <w:lang w:val="bg-BG"/>
        </w:rPr>
        <w:tab/>
      </w:r>
      <w:r w:rsidRPr="003576AB">
        <w:rPr>
          <w:rFonts w:ascii="Times New Roman" w:hAnsi="Times New Roman" w:cs="Times New Roman"/>
          <w:b/>
          <w:color w:val="auto"/>
          <w:lang w:val="bg-BG"/>
        </w:rPr>
        <w:t>БОЙКО БОРИСОВ</w:t>
      </w:r>
    </w:p>
    <w:p w14:paraId="3AA22F85" w14:textId="78F33EDB" w:rsidR="00D23EDA" w:rsidRPr="00997667" w:rsidRDefault="00D23EDA" w:rsidP="003576AB">
      <w:pPr>
        <w:tabs>
          <w:tab w:val="left" w:pos="630"/>
          <w:tab w:val="left" w:pos="990"/>
        </w:tabs>
        <w:ind w:firstLine="450"/>
        <w:jc w:val="both"/>
        <w:rPr>
          <w:rFonts w:ascii="Times New Roman" w:eastAsia="Arial" w:hAnsi="Times New Roman" w:cs="Times New Roman"/>
          <w:b/>
          <w:color w:val="auto"/>
          <w:lang w:val="bg-BG" w:eastAsia="en-US" w:bidi="ar-SA"/>
        </w:rPr>
      </w:pPr>
    </w:p>
    <w:sectPr w:rsidR="00D23EDA" w:rsidRPr="00997667" w:rsidSect="004636E8">
      <w:footerReference w:type="even" r:id="rId9"/>
      <w:footerReference w:type="default" r:id="rId10"/>
      <w:pgSz w:w="11900" w:h="16840"/>
      <w:pgMar w:top="1255" w:right="470" w:bottom="998" w:left="900"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E0A583B" w14:textId="77777777" w:rsidR="004E3FCE" w:rsidRDefault="004E3FCE" w:rsidP="009C2461">
      <w:r>
        <w:separator/>
      </w:r>
    </w:p>
  </w:endnote>
  <w:endnote w:type="continuationSeparator" w:id="0">
    <w:p w14:paraId="2A8C7D28" w14:textId="77777777" w:rsidR="004E3FCE" w:rsidRDefault="004E3FCE" w:rsidP="009C24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29844738"/>
      <w:docPartObj>
        <w:docPartGallery w:val="Page Numbers (Bottom of Page)"/>
        <w:docPartUnique/>
      </w:docPartObj>
    </w:sdtPr>
    <w:sdtEndPr>
      <w:rPr>
        <w:noProof/>
      </w:rPr>
    </w:sdtEndPr>
    <w:sdtContent>
      <w:p w14:paraId="34F1183E" w14:textId="77777777" w:rsidR="00E33701" w:rsidRDefault="00E33701">
        <w:pPr>
          <w:pStyle w:val="Footer"/>
          <w:jc w:val="right"/>
        </w:pPr>
        <w:r>
          <w:fldChar w:fldCharType="begin"/>
        </w:r>
        <w:r>
          <w:instrText xml:space="preserve"> PAGE   \* MERGEFORMAT </w:instrText>
        </w:r>
        <w:r>
          <w:fldChar w:fldCharType="separate"/>
        </w:r>
        <w:r>
          <w:rPr>
            <w:noProof/>
          </w:rPr>
          <w:t>14</w:t>
        </w:r>
        <w:r>
          <w:rPr>
            <w:noProof/>
          </w:rPr>
          <w:fldChar w:fldCharType="end"/>
        </w:r>
      </w:p>
    </w:sdtContent>
  </w:sdt>
  <w:p w14:paraId="203BD34C" w14:textId="77777777" w:rsidR="00E33701" w:rsidRDefault="00E337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6722208"/>
      <w:docPartObj>
        <w:docPartGallery w:val="Page Numbers (Bottom of Page)"/>
        <w:docPartUnique/>
      </w:docPartObj>
    </w:sdtPr>
    <w:sdtEndPr>
      <w:rPr>
        <w:noProof/>
      </w:rPr>
    </w:sdtEndPr>
    <w:sdtContent>
      <w:p w14:paraId="71A02E1F" w14:textId="77777777" w:rsidR="00E33701" w:rsidRDefault="00E33701">
        <w:pPr>
          <w:pStyle w:val="Footer"/>
          <w:jc w:val="right"/>
        </w:pPr>
        <w:r>
          <w:fldChar w:fldCharType="begin"/>
        </w:r>
        <w:r>
          <w:instrText xml:space="preserve"> PAGE   \* MERGEFORMAT </w:instrText>
        </w:r>
        <w:r>
          <w:fldChar w:fldCharType="separate"/>
        </w:r>
        <w:r w:rsidR="00871272">
          <w:rPr>
            <w:noProof/>
          </w:rPr>
          <w:t>11</w:t>
        </w:r>
        <w:r>
          <w:rPr>
            <w:noProof/>
          </w:rPr>
          <w:fldChar w:fldCharType="end"/>
        </w:r>
      </w:p>
    </w:sdtContent>
  </w:sdt>
  <w:p w14:paraId="291648E2" w14:textId="77777777" w:rsidR="00E33701" w:rsidRDefault="00E3370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2CA8C4F" w14:textId="77777777" w:rsidR="004E3FCE" w:rsidRDefault="004E3FCE" w:rsidP="009C2461">
      <w:r>
        <w:separator/>
      </w:r>
    </w:p>
  </w:footnote>
  <w:footnote w:type="continuationSeparator" w:id="0">
    <w:p w14:paraId="5630FA45" w14:textId="77777777" w:rsidR="004E3FCE" w:rsidRDefault="004E3FCE" w:rsidP="009C246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1"/>
      <w:numFmt w:val="bullet"/>
      <w:lvlText w:val="-"/>
      <w:lvlJc w:val="left"/>
      <w:pPr>
        <w:tabs>
          <w:tab w:val="num" w:pos="0"/>
        </w:tabs>
        <w:ind w:left="720" w:hanging="360"/>
      </w:pPr>
      <w:rPr>
        <w:rFonts w:ascii="Times New Roman" w:hAnsi="Times New Roman" w:cs="Times New Roman" w:hint="default"/>
        <w:color w:val="FF0000"/>
        <w:szCs w:val="24"/>
        <w:lang w:val="bg-BG"/>
      </w:rPr>
    </w:lvl>
  </w:abstractNum>
  <w:abstractNum w:abstractNumId="1">
    <w:nsid w:val="134D2D50"/>
    <w:multiLevelType w:val="hybridMultilevel"/>
    <w:tmpl w:val="1494F84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F7C0176"/>
    <w:multiLevelType w:val="hybridMultilevel"/>
    <w:tmpl w:val="7A243AF4"/>
    <w:lvl w:ilvl="0" w:tplc="082255AE">
      <w:start w:val="1"/>
      <w:numFmt w:val="upperRoman"/>
      <w:lvlText w:val="%1."/>
      <w:lvlJc w:val="left"/>
      <w:pPr>
        <w:ind w:left="1140" w:hanging="72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
    <w:nsid w:val="2B1C0050"/>
    <w:multiLevelType w:val="hybridMultilevel"/>
    <w:tmpl w:val="03AE91EA"/>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2E815756"/>
    <w:multiLevelType w:val="hybridMultilevel"/>
    <w:tmpl w:val="6D828B40"/>
    <w:lvl w:ilvl="0" w:tplc="0409000D">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FEC2F6D"/>
    <w:multiLevelType w:val="hybridMultilevel"/>
    <w:tmpl w:val="34A2A30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04464D8"/>
    <w:multiLevelType w:val="hybridMultilevel"/>
    <w:tmpl w:val="3FEA80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2843FC3"/>
    <w:multiLevelType w:val="hybridMultilevel"/>
    <w:tmpl w:val="BA8640C4"/>
    <w:lvl w:ilvl="0" w:tplc="04090005">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B560292"/>
    <w:multiLevelType w:val="hybridMultilevel"/>
    <w:tmpl w:val="703C1EB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D0065AE"/>
    <w:multiLevelType w:val="hybridMultilevel"/>
    <w:tmpl w:val="04AEF250"/>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3F777BDF"/>
    <w:multiLevelType w:val="hybridMultilevel"/>
    <w:tmpl w:val="7FD809BE"/>
    <w:lvl w:ilvl="0" w:tplc="4F9467BE">
      <w:numFmt w:val="bullet"/>
      <w:lvlText w:val="-"/>
      <w:lvlJc w:val="left"/>
      <w:pPr>
        <w:ind w:left="720" w:hanging="360"/>
      </w:pPr>
      <w:rPr>
        <w:rFonts w:ascii="Calibri" w:eastAsia="Calibri" w:hAnsi="Calibri" w:cs="Calibri"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11">
    <w:nsid w:val="4649260A"/>
    <w:multiLevelType w:val="hybridMultilevel"/>
    <w:tmpl w:val="18D85F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D6B370A"/>
    <w:multiLevelType w:val="hybridMultilevel"/>
    <w:tmpl w:val="9B1E3E6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590678EA"/>
    <w:multiLevelType w:val="hybridMultilevel"/>
    <w:tmpl w:val="F56E294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C127666"/>
    <w:multiLevelType w:val="hybridMultilevel"/>
    <w:tmpl w:val="181C7010"/>
    <w:lvl w:ilvl="0" w:tplc="63BEDB20">
      <w:start w:val="1"/>
      <w:numFmt w:val="upperRoman"/>
      <w:lvlText w:val="%1."/>
      <w:lvlJc w:val="left"/>
      <w:pPr>
        <w:ind w:left="1350" w:hanging="720"/>
      </w:pPr>
      <w:rPr>
        <w:rFonts w:hint="default"/>
      </w:rPr>
    </w:lvl>
    <w:lvl w:ilvl="1" w:tplc="04020019" w:tentative="1">
      <w:start w:val="1"/>
      <w:numFmt w:val="lowerLetter"/>
      <w:lvlText w:val="%2."/>
      <w:lvlJc w:val="left"/>
      <w:pPr>
        <w:ind w:left="1710" w:hanging="360"/>
      </w:pPr>
    </w:lvl>
    <w:lvl w:ilvl="2" w:tplc="0402001B" w:tentative="1">
      <w:start w:val="1"/>
      <w:numFmt w:val="lowerRoman"/>
      <w:lvlText w:val="%3."/>
      <w:lvlJc w:val="right"/>
      <w:pPr>
        <w:ind w:left="2430" w:hanging="180"/>
      </w:pPr>
    </w:lvl>
    <w:lvl w:ilvl="3" w:tplc="0402000F" w:tentative="1">
      <w:start w:val="1"/>
      <w:numFmt w:val="decimal"/>
      <w:lvlText w:val="%4."/>
      <w:lvlJc w:val="left"/>
      <w:pPr>
        <w:ind w:left="3150" w:hanging="360"/>
      </w:pPr>
    </w:lvl>
    <w:lvl w:ilvl="4" w:tplc="04020019" w:tentative="1">
      <w:start w:val="1"/>
      <w:numFmt w:val="lowerLetter"/>
      <w:lvlText w:val="%5."/>
      <w:lvlJc w:val="left"/>
      <w:pPr>
        <w:ind w:left="3870" w:hanging="360"/>
      </w:pPr>
    </w:lvl>
    <w:lvl w:ilvl="5" w:tplc="0402001B" w:tentative="1">
      <w:start w:val="1"/>
      <w:numFmt w:val="lowerRoman"/>
      <w:lvlText w:val="%6."/>
      <w:lvlJc w:val="right"/>
      <w:pPr>
        <w:ind w:left="4590" w:hanging="180"/>
      </w:pPr>
    </w:lvl>
    <w:lvl w:ilvl="6" w:tplc="0402000F" w:tentative="1">
      <w:start w:val="1"/>
      <w:numFmt w:val="decimal"/>
      <w:lvlText w:val="%7."/>
      <w:lvlJc w:val="left"/>
      <w:pPr>
        <w:ind w:left="5310" w:hanging="360"/>
      </w:pPr>
    </w:lvl>
    <w:lvl w:ilvl="7" w:tplc="04020019" w:tentative="1">
      <w:start w:val="1"/>
      <w:numFmt w:val="lowerLetter"/>
      <w:lvlText w:val="%8."/>
      <w:lvlJc w:val="left"/>
      <w:pPr>
        <w:ind w:left="6030" w:hanging="360"/>
      </w:pPr>
    </w:lvl>
    <w:lvl w:ilvl="8" w:tplc="0402001B" w:tentative="1">
      <w:start w:val="1"/>
      <w:numFmt w:val="lowerRoman"/>
      <w:lvlText w:val="%9."/>
      <w:lvlJc w:val="right"/>
      <w:pPr>
        <w:ind w:left="6750" w:hanging="180"/>
      </w:pPr>
    </w:lvl>
  </w:abstractNum>
  <w:abstractNum w:abstractNumId="15">
    <w:nsid w:val="5EC86441"/>
    <w:multiLevelType w:val="hybridMultilevel"/>
    <w:tmpl w:val="AE662AC4"/>
    <w:lvl w:ilvl="0" w:tplc="0409000D">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6">
    <w:nsid w:val="5FEF1C07"/>
    <w:multiLevelType w:val="hybridMultilevel"/>
    <w:tmpl w:val="1F30F4FA"/>
    <w:lvl w:ilvl="0" w:tplc="E3C8F986">
      <w:numFmt w:val="bullet"/>
      <w:lvlText w:val=""/>
      <w:lvlJc w:val="left"/>
      <w:pPr>
        <w:ind w:left="1155" w:hanging="435"/>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7CD65F53"/>
    <w:multiLevelType w:val="hybridMultilevel"/>
    <w:tmpl w:val="90A21276"/>
    <w:lvl w:ilvl="0" w:tplc="0409000D">
      <w:start w:val="1"/>
      <w:numFmt w:val="bullet"/>
      <w:lvlText w:val=""/>
      <w:lvlJc w:val="left"/>
      <w:pPr>
        <w:ind w:left="1290" w:hanging="360"/>
      </w:pPr>
      <w:rPr>
        <w:rFonts w:ascii="Wingdings" w:hAnsi="Wingdings" w:hint="default"/>
      </w:rPr>
    </w:lvl>
    <w:lvl w:ilvl="1" w:tplc="04090003" w:tentative="1">
      <w:start w:val="1"/>
      <w:numFmt w:val="bullet"/>
      <w:lvlText w:val="o"/>
      <w:lvlJc w:val="left"/>
      <w:pPr>
        <w:ind w:left="2010" w:hanging="360"/>
      </w:pPr>
      <w:rPr>
        <w:rFonts w:ascii="Courier New" w:hAnsi="Courier New" w:cs="Courier New" w:hint="default"/>
      </w:rPr>
    </w:lvl>
    <w:lvl w:ilvl="2" w:tplc="04090005" w:tentative="1">
      <w:start w:val="1"/>
      <w:numFmt w:val="bullet"/>
      <w:lvlText w:val=""/>
      <w:lvlJc w:val="left"/>
      <w:pPr>
        <w:ind w:left="2730" w:hanging="360"/>
      </w:pPr>
      <w:rPr>
        <w:rFonts w:ascii="Wingdings" w:hAnsi="Wingdings" w:hint="default"/>
      </w:rPr>
    </w:lvl>
    <w:lvl w:ilvl="3" w:tplc="04090001" w:tentative="1">
      <w:start w:val="1"/>
      <w:numFmt w:val="bullet"/>
      <w:lvlText w:val=""/>
      <w:lvlJc w:val="left"/>
      <w:pPr>
        <w:ind w:left="3450" w:hanging="360"/>
      </w:pPr>
      <w:rPr>
        <w:rFonts w:ascii="Symbol" w:hAnsi="Symbol" w:hint="default"/>
      </w:rPr>
    </w:lvl>
    <w:lvl w:ilvl="4" w:tplc="04090003" w:tentative="1">
      <w:start w:val="1"/>
      <w:numFmt w:val="bullet"/>
      <w:lvlText w:val="o"/>
      <w:lvlJc w:val="left"/>
      <w:pPr>
        <w:ind w:left="4170" w:hanging="360"/>
      </w:pPr>
      <w:rPr>
        <w:rFonts w:ascii="Courier New" w:hAnsi="Courier New" w:cs="Courier New" w:hint="default"/>
      </w:rPr>
    </w:lvl>
    <w:lvl w:ilvl="5" w:tplc="04090005" w:tentative="1">
      <w:start w:val="1"/>
      <w:numFmt w:val="bullet"/>
      <w:lvlText w:val=""/>
      <w:lvlJc w:val="left"/>
      <w:pPr>
        <w:ind w:left="4890" w:hanging="360"/>
      </w:pPr>
      <w:rPr>
        <w:rFonts w:ascii="Wingdings" w:hAnsi="Wingdings" w:hint="default"/>
      </w:rPr>
    </w:lvl>
    <w:lvl w:ilvl="6" w:tplc="04090001" w:tentative="1">
      <w:start w:val="1"/>
      <w:numFmt w:val="bullet"/>
      <w:lvlText w:val=""/>
      <w:lvlJc w:val="left"/>
      <w:pPr>
        <w:ind w:left="5610" w:hanging="360"/>
      </w:pPr>
      <w:rPr>
        <w:rFonts w:ascii="Symbol" w:hAnsi="Symbol" w:hint="default"/>
      </w:rPr>
    </w:lvl>
    <w:lvl w:ilvl="7" w:tplc="04090003" w:tentative="1">
      <w:start w:val="1"/>
      <w:numFmt w:val="bullet"/>
      <w:lvlText w:val="o"/>
      <w:lvlJc w:val="left"/>
      <w:pPr>
        <w:ind w:left="6330" w:hanging="360"/>
      </w:pPr>
      <w:rPr>
        <w:rFonts w:ascii="Courier New" w:hAnsi="Courier New" w:cs="Courier New" w:hint="default"/>
      </w:rPr>
    </w:lvl>
    <w:lvl w:ilvl="8" w:tplc="04090005" w:tentative="1">
      <w:start w:val="1"/>
      <w:numFmt w:val="bullet"/>
      <w:lvlText w:val=""/>
      <w:lvlJc w:val="left"/>
      <w:pPr>
        <w:ind w:left="7050" w:hanging="360"/>
      </w:pPr>
      <w:rPr>
        <w:rFonts w:ascii="Wingdings" w:hAnsi="Wingdings" w:hint="default"/>
      </w:rPr>
    </w:lvl>
  </w:abstractNum>
  <w:abstractNum w:abstractNumId="18">
    <w:nsid w:val="7DB96F2E"/>
    <w:multiLevelType w:val="hybridMultilevel"/>
    <w:tmpl w:val="E892EFB8"/>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6"/>
  </w:num>
  <w:num w:numId="2">
    <w:abstractNumId w:val="11"/>
  </w:num>
  <w:num w:numId="3">
    <w:abstractNumId w:val="17"/>
  </w:num>
  <w:num w:numId="4">
    <w:abstractNumId w:val="8"/>
  </w:num>
  <w:num w:numId="5">
    <w:abstractNumId w:val="7"/>
  </w:num>
  <w:num w:numId="6">
    <w:abstractNumId w:val="4"/>
  </w:num>
  <w:num w:numId="7">
    <w:abstractNumId w:val="3"/>
  </w:num>
  <w:num w:numId="8">
    <w:abstractNumId w:val="8"/>
  </w:num>
  <w:num w:numId="9">
    <w:abstractNumId w:val="11"/>
  </w:num>
  <w:num w:numId="10">
    <w:abstractNumId w:val="4"/>
  </w:num>
  <w:num w:numId="11">
    <w:abstractNumId w:val="3"/>
  </w:num>
  <w:num w:numId="12">
    <w:abstractNumId w:val="5"/>
  </w:num>
  <w:num w:numId="13">
    <w:abstractNumId w:val="13"/>
  </w:num>
  <w:num w:numId="14">
    <w:abstractNumId w:val="15"/>
  </w:num>
  <w:num w:numId="15">
    <w:abstractNumId w:val="12"/>
  </w:num>
  <w:num w:numId="16">
    <w:abstractNumId w:val="0"/>
  </w:num>
  <w:num w:numId="17">
    <w:abstractNumId w:val="1"/>
  </w:num>
  <w:num w:numId="18">
    <w:abstractNumId w:val="9"/>
  </w:num>
  <w:num w:numId="19">
    <w:abstractNumId w:val="10"/>
  </w:num>
  <w:num w:numId="20">
    <w:abstractNumId w:val="14"/>
  </w:num>
  <w:num w:numId="21">
    <w:abstractNumId w:val="18"/>
  </w:num>
  <w:num w:numId="22">
    <w:abstractNumId w:val="16"/>
  </w:num>
  <w:num w:numId="23">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risi">
    <w15:presenceInfo w15:providerId="None" w15:userId="Krisi"/>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7D99"/>
    <w:rsid w:val="00000306"/>
    <w:rsid w:val="000216AF"/>
    <w:rsid w:val="00036606"/>
    <w:rsid w:val="00041C40"/>
    <w:rsid w:val="00050630"/>
    <w:rsid w:val="000578BD"/>
    <w:rsid w:val="0005797E"/>
    <w:rsid w:val="00080FCF"/>
    <w:rsid w:val="00094B2B"/>
    <w:rsid w:val="000A1150"/>
    <w:rsid w:val="000B22C0"/>
    <w:rsid w:val="000B308A"/>
    <w:rsid w:val="000C1D18"/>
    <w:rsid w:val="000C52B9"/>
    <w:rsid w:val="000C7128"/>
    <w:rsid w:val="000D6988"/>
    <w:rsid w:val="000E6F51"/>
    <w:rsid w:val="000F52AF"/>
    <w:rsid w:val="00112FA7"/>
    <w:rsid w:val="00126634"/>
    <w:rsid w:val="00133935"/>
    <w:rsid w:val="001617F8"/>
    <w:rsid w:val="00167117"/>
    <w:rsid w:val="001751ED"/>
    <w:rsid w:val="00184F65"/>
    <w:rsid w:val="00186871"/>
    <w:rsid w:val="001A4C3E"/>
    <w:rsid w:val="001A60F2"/>
    <w:rsid w:val="001B3072"/>
    <w:rsid w:val="001B58DD"/>
    <w:rsid w:val="001C37B5"/>
    <w:rsid w:val="001C63C1"/>
    <w:rsid w:val="001D569D"/>
    <w:rsid w:val="001E548C"/>
    <w:rsid w:val="00212516"/>
    <w:rsid w:val="002203D2"/>
    <w:rsid w:val="0024494B"/>
    <w:rsid w:val="00251837"/>
    <w:rsid w:val="00257452"/>
    <w:rsid w:val="002663C6"/>
    <w:rsid w:val="0027413F"/>
    <w:rsid w:val="00280E61"/>
    <w:rsid w:val="00283A67"/>
    <w:rsid w:val="00290DA6"/>
    <w:rsid w:val="002930D2"/>
    <w:rsid w:val="00295259"/>
    <w:rsid w:val="00296D39"/>
    <w:rsid w:val="002A1D5F"/>
    <w:rsid w:val="002A285B"/>
    <w:rsid w:val="002B15AA"/>
    <w:rsid w:val="002C3A09"/>
    <w:rsid w:val="002C48C8"/>
    <w:rsid w:val="002E5FC0"/>
    <w:rsid w:val="002F4173"/>
    <w:rsid w:val="002F6BFE"/>
    <w:rsid w:val="003011E0"/>
    <w:rsid w:val="00304A4F"/>
    <w:rsid w:val="00321D05"/>
    <w:rsid w:val="0032249B"/>
    <w:rsid w:val="00330B6D"/>
    <w:rsid w:val="003365C7"/>
    <w:rsid w:val="003374B1"/>
    <w:rsid w:val="003472E2"/>
    <w:rsid w:val="00347FDB"/>
    <w:rsid w:val="00351FF3"/>
    <w:rsid w:val="00356932"/>
    <w:rsid w:val="003576AB"/>
    <w:rsid w:val="003655E8"/>
    <w:rsid w:val="00365C9F"/>
    <w:rsid w:val="0038015F"/>
    <w:rsid w:val="003949E7"/>
    <w:rsid w:val="003962A6"/>
    <w:rsid w:val="003A75E1"/>
    <w:rsid w:val="003B0872"/>
    <w:rsid w:val="003B24D0"/>
    <w:rsid w:val="003B3952"/>
    <w:rsid w:val="003C06F1"/>
    <w:rsid w:val="003C096F"/>
    <w:rsid w:val="003E1F57"/>
    <w:rsid w:val="0040124E"/>
    <w:rsid w:val="00403508"/>
    <w:rsid w:val="004160F2"/>
    <w:rsid w:val="00425984"/>
    <w:rsid w:val="004349FE"/>
    <w:rsid w:val="004375A2"/>
    <w:rsid w:val="00440A86"/>
    <w:rsid w:val="00445F23"/>
    <w:rsid w:val="004503E3"/>
    <w:rsid w:val="00450BDE"/>
    <w:rsid w:val="00451E17"/>
    <w:rsid w:val="00456380"/>
    <w:rsid w:val="004636E8"/>
    <w:rsid w:val="00466302"/>
    <w:rsid w:val="00467AF5"/>
    <w:rsid w:val="0048119C"/>
    <w:rsid w:val="004A366E"/>
    <w:rsid w:val="004E3FCE"/>
    <w:rsid w:val="004E7A4F"/>
    <w:rsid w:val="004F354B"/>
    <w:rsid w:val="004F5F22"/>
    <w:rsid w:val="00504C8A"/>
    <w:rsid w:val="00513B17"/>
    <w:rsid w:val="00520673"/>
    <w:rsid w:val="00530E9F"/>
    <w:rsid w:val="00535600"/>
    <w:rsid w:val="005413E1"/>
    <w:rsid w:val="0055787F"/>
    <w:rsid w:val="00563781"/>
    <w:rsid w:val="005677BC"/>
    <w:rsid w:val="005737D9"/>
    <w:rsid w:val="00592D83"/>
    <w:rsid w:val="005A1412"/>
    <w:rsid w:val="005B5CDA"/>
    <w:rsid w:val="005C18D5"/>
    <w:rsid w:val="005C20D0"/>
    <w:rsid w:val="005C2765"/>
    <w:rsid w:val="005C5467"/>
    <w:rsid w:val="005D0B53"/>
    <w:rsid w:val="005D545F"/>
    <w:rsid w:val="005E3A05"/>
    <w:rsid w:val="005F10BE"/>
    <w:rsid w:val="005F1B3B"/>
    <w:rsid w:val="005F5693"/>
    <w:rsid w:val="00603F97"/>
    <w:rsid w:val="0061494F"/>
    <w:rsid w:val="006215F5"/>
    <w:rsid w:val="006436AE"/>
    <w:rsid w:val="006456D0"/>
    <w:rsid w:val="006653F8"/>
    <w:rsid w:val="00667599"/>
    <w:rsid w:val="006B40A8"/>
    <w:rsid w:val="006B44AA"/>
    <w:rsid w:val="006D41F6"/>
    <w:rsid w:val="006D5A7D"/>
    <w:rsid w:val="006D7031"/>
    <w:rsid w:val="006E5122"/>
    <w:rsid w:val="00735541"/>
    <w:rsid w:val="00767972"/>
    <w:rsid w:val="00774F19"/>
    <w:rsid w:val="007768FA"/>
    <w:rsid w:val="00781004"/>
    <w:rsid w:val="00791D79"/>
    <w:rsid w:val="007A14D8"/>
    <w:rsid w:val="007C2E48"/>
    <w:rsid w:val="007D4683"/>
    <w:rsid w:val="007D58DB"/>
    <w:rsid w:val="007D5D86"/>
    <w:rsid w:val="007E2DB7"/>
    <w:rsid w:val="0080315A"/>
    <w:rsid w:val="00807C9A"/>
    <w:rsid w:val="00822DF3"/>
    <w:rsid w:val="00824FC1"/>
    <w:rsid w:val="00825857"/>
    <w:rsid w:val="00844AB9"/>
    <w:rsid w:val="00871272"/>
    <w:rsid w:val="008727C9"/>
    <w:rsid w:val="00894FF1"/>
    <w:rsid w:val="008B1A6D"/>
    <w:rsid w:val="008C0CB7"/>
    <w:rsid w:val="008C38D4"/>
    <w:rsid w:val="008D379F"/>
    <w:rsid w:val="008D5BCB"/>
    <w:rsid w:val="008E01CC"/>
    <w:rsid w:val="008F3118"/>
    <w:rsid w:val="00917E3F"/>
    <w:rsid w:val="00934147"/>
    <w:rsid w:val="00934D78"/>
    <w:rsid w:val="00942393"/>
    <w:rsid w:val="00954926"/>
    <w:rsid w:val="009668BE"/>
    <w:rsid w:val="0097070D"/>
    <w:rsid w:val="00994892"/>
    <w:rsid w:val="00997667"/>
    <w:rsid w:val="009A1959"/>
    <w:rsid w:val="009B171C"/>
    <w:rsid w:val="009B3531"/>
    <w:rsid w:val="009C2461"/>
    <w:rsid w:val="009E7D99"/>
    <w:rsid w:val="00A01B8B"/>
    <w:rsid w:val="00A03F6B"/>
    <w:rsid w:val="00A26C39"/>
    <w:rsid w:val="00A318EF"/>
    <w:rsid w:val="00A32855"/>
    <w:rsid w:val="00A36308"/>
    <w:rsid w:val="00A57DB1"/>
    <w:rsid w:val="00A663E2"/>
    <w:rsid w:val="00A810F8"/>
    <w:rsid w:val="00A86633"/>
    <w:rsid w:val="00A968D6"/>
    <w:rsid w:val="00AA4AD9"/>
    <w:rsid w:val="00AB1BA0"/>
    <w:rsid w:val="00AB6D44"/>
    <w:rsid w:val="00AC18C6"/>
    <w:rsid w:val="00AD77B2"/>
    <w:rsid w:val="00AE4A2C"/>
    <w:rsid w:val="00B05170"/>
    <w:rsid w:val="00B11072"/>
    <w:rsid w:val="00B120E4"/>
    <w:rsid w:val="00B301DD"/>
    <w:rsid w:val="00B34426"/>
    <w:rsid w:val="00B50A06"/>
    <w:rsid w:val="00B52376"/>
    <w:rsid w:val="00B81693"/>
    <w:rsid w:val="00B85BB2"/>
    <w:rsid w:val="00B945F5"/>
    <w:rsid w:val="00BB1013"/>
    <w:rsid w:val="00BB4275"/>
    <w:rsid w:val="00BB6F2A"/>
    <w:rsid w:val="00BD313A"/>
    <w:rsid w:val="00BE33AD"/>
    <w:rsid w:val="00BE5FD2"/>
    <w:rsid w:val="00BF229E"/>
    <w:rsid w:val="00C10886"/>
    <w:rsid w:val="00C1113D"/>
    <w:rsid w:val="00C405F1"/>
    <w:rsid w:val="00C606D7"/>
    <w:rsid w:val="00C61D53"/>
    <w:rsid w:val="00C628B5"/>
    <w:rsid w:val="00C75552"/>
    <w:rsid w:val="00C86FC2"/>
    <w:rsid w:val="00CA0BBC"/>
    <w:rsid w:val="00CC287E"/>
    <w:rsid w:val="00CC3B77"/>
    <w:rsid w:val="00CD2DAA"/>
    <w:rsid w:val="00CE2C5E"/>
    <w:rsid w:val="00CE5918"/>
    <w:rsid w:val="00CE73AD"/>
    <w:rsid w:val="00CF453A"/>
    <w:rsid w:val="00CF492E"/>
    <w:rsid w:val="00CF5828"/>
    <w:rsid w:val="00D00A8D"/>
    <w:rsid w:val="00D058E8"/>
    <w:rsid w:val="00D16704"/>
    <w:rsid w:val="00D23EDA"/>
    <w:rsid w:val="00D278D4"/>
    <w:rsid w:val="00D337EB"/>
    <w:rsid w:val="00D33EA4"/>
    <w:rsid w:val="00D35E1B"/>
    <w:rsid w:val="00D41E27"/>
    <w:rsid w:val="00D70FBE"/>
    <w:rsid w:val="00D85E3D"/>
    <w:rsid w:val="00DA74DF"/>
    <w:rsid w:val="00DB1201"/>
    <w:rsid w:val="00DB34E5"/>
    <w:rsid w:val="00DB4723"/>
    <w:rsid w:val="00DB7091"/>
    <w:rsid w:val="00DC0D2C"/>
    <w:rsid w:val="00DC0F35"/>
    <w:rsid w:val="00DC6321"/>
    <w:rsid w:val="00DC793C"/>
    <w:rsid w:val="00E1515F"/>
    <w:rsid w:val="00E33701"/>
    <w:rsid w:val="00E341D2"/>
    <w:rsid w:val="00E45081"/>
    <w:rsid w:val="00E70D5C"/>
    <w:rsid w:val="00E71DF5"/>
    <w:rsid w:val="00E80990"/>
    <w:rsid w:val="00EB4694"/>
    <w:rsid w:val="00EC2338"/>
    <w:rsid w:val="00EF61B8"/>
    <w:rsid w:val="00F11B35"/>
    <w:rsid w:val="00F141C3"/>
    <w:rsid w:val="00F33966"/>
    <w:rsid w:val="00F35877"/>
    <w:rsid w:val="00F6494A"/>
    <w:rsid w:val="00F66929"/>
    <w:rsid w:val="00F848C3"/>
    <w:rsid w:val="00F84B1A"/>
    <w:rsid w:val="00F84DBE"/>
    <w:rsid w:val="00FA5139"/>
    <w:rsid w:val="00FA701E"/>
    <w:rsid w:val="00FC2186"/>
    <w:rsid w:val="00FC7FA8"/>
    <w:rsid w:val="00FD16D7"/>
    <w:rsid w:val="00FF3538"/>
    <w:rsid w:val="00FF76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466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1B3B"/>
    <w:pPr>
      <w:widowControl w:val="0"/>
      <w:spacing w:after="0" w:line="240" w:lineRule="auto"/>
    </w:pPr>
    <w:rPr>
      <w:rFonts w:ascii="Courier New" w:eastAsia="Courier New" w:hAnsi="Courier New" w:cs="Courier New"/>
      <w:color w:val="000000"/>
      <w:sz w:val="24"/>
      <w:szCs w:val="24"/>
      <w:lang w:val="ro-RO" w:eastAsia="ro-RO" w:bidi="ro-RO"/>
    </w:rPr>
  </w:style>
  <w:style w:type="paragraph" w:styleId="Heading3">
    <w:name w:val="heading 3"/>
    <w:basedOn w:val="Normal"/>
    <w:next w:val="Normal"/>
    <w:link w:val="Heading3Char"/>
    <w:unhideWhenUsed/>
    <w:qFormat/>
    <w:rsid w:val="00F141C3"/>
    <w:pPr>
      <w:keepNext/>
      <w:widowControl/>
      <w:spacing w:before="240" w:after="60" w:line="276" w:lineRule="auto"/>
      <w:outlineLvl w:val="2"/>
    </w:pPr>
    <w:rPr>
      <w:rFonts w:ascii="Cambria" w:eastAsia="Times New Roman" w:hAnsi="Cambria" w:cs="Times New Roman"/>
      <w:b/>
      <w:bCs/>
      <w:color w:val="auto"/>
      <w:sz w:val="26"/>
      <w:szCs w:val="26"/>
      <w:lang w:val="bg-BG"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2">
    <w:name w:val="Body text (2)_"/>
    <w:basedOn w:val="DefaultParagraphFont"/>
    <w:link w:val="Bodytext20"/>
    <w:rsid w:val="005F1B3B"/>
    <w:rPr>
      <w:rFonts w:ascii="Arial" w:eastAsia="Arial" w:hAnsi="Arial" w:cs="Arial"/>
      <w:shd w:val="clear" w:color="auto" w:fill="FFFFFF"/>
    </w:rPr>
  </w:style>
  <w:style w:type="paragraph" w:customStyle="1" w:styleId="Bodytext20">
    <w:name w:val="Body text (2)"/>
    <w:basedOn w:val="Normal"/>
    <w:link w:val="Bodytext2"/>
    <w:rsid w:val="005F1B3B"/>
    <w:pPr>
      <w:shd w:val="clear" w:color="auto" w:fill="FFFFFF"/>
      <w:spacing w:before="540" w:after="180" w:line="310" w:lineRule="exact"/>
      <w:ind w:hanging="371"/>
      <w:jc w:val="both"/>
    </w:pPr>
    <w:rPr>
      <w:rFonts w:ascii="Arial" w:eastAsia="Arial" w:hAnsi="Arial" w:cs="Arial"/>
      <w:color w:val="auto"/>
      <w:sz w:val="22"/>
      <w:szCs w:val="22"/>
      <w:lang w:val="en-US" w:eastAsia="en-US" w:bidi="ar-SA"/>
    </w:rPr>
  </w:style>
  <w:style w:type="paragraph" w:styleId="Footer">
    <w:name w:val="footer"/>
    <w:basedOn w:val="Normal"/>
    <w:link w:val="FooterChar"/>
    <w:uiPriority w:val="99"/>
    <w:unhideWhenUsed/>
    <w:rsid w:val="005F1B3B"/>
    <w:pPr>
      <w:tabs>
        <w:tab w:val="center" w:pos="4703"/>
        <w:tab w:val="right" w:pos="9406"/>
      </w:tabs>
    </w:pPr>
  </w:style>
  <w:style w:type="character" w:customStyle="1" w:styleId="FooterChar">
    <w:name w:val="Footer Char"/>
    <w:basedOn w:val="DefaultParagraphFont"/>
    <w:link w:val="Footer"/>
    <w:uiPriority w:val="99"/>
    <w:rsid w:val="005F1B3B"/>
    <w:rPr>
      <w:rFonts w:ascii="Courier New" w:eastAsia="Courier New" w:hAnsi="Courier New" w:cs="Courier New"/>
      <w:color w:val="000000"/>
      <w:sz w:val="24"/>
      <w:szCs w:val="24"/>
      <w:lang w:val="ro-RO" w:eastAsia="ro-RO" w:bidi="ro-RO"/>
    </w:rPr>
  </w:style>
  <w:style w:type="paragraph" w:styleId="Header">
    <w:name w:val="header"/>
    <w:basedOn w:val="Normal"/>
    <w:link w:val="HeaderChar"/>
    <w:unhideWhenUsed/>
    <w:rsid w:val="009C2461"/>
    <w:pPr>
      <w:tabs>
        <w:tab w:val="center" w:pos="4703"/>
        <w:tab w:val="right" w:pos="9406"/>
      </w:tabs>
    </w:pPr>
  </w:style>
  <w:style w:type="character" w:customStyle="1" w:styleId="HeaderChar">
    <w:name w:val="Header Char"/>
    <w:basedOn w:val="DefaultParagraphFont"/>
    <w:link w:val="Header"/>
    <w:rsid w:val="009C2461"/>
    <w:rPr>
      <w:rFonts w:ascii="Courier New" w:eastAsia="Courier New" w:hAnsi="Courier New" w:cs="Courier New"/>
      <w:color w:val="000000"/>
      <w:sz w:val="24"/>
      <w:szCs w:val="24"/>
      <w:lang w:val="ro-RO" w:eastAsia="ro-RO" w:bidi="ro-RO"/>
    </w:rPr>
  </w:style>
  <w:style w:type="character" w:styleId="CommentReference">
    <w:name w:val="annotation reference"/>
    <w:basedOn w:val="DefaultParagraphFont"/>
    <w:uiPriority w:val="99"/>
    <w:semiHidden/>
    <w:unhideWhenUsed/>
    <w:rsid w:val="00735541"/>
    <w:rPr>
      <w:sz w:val="16"/>
      <w:szCs w:val="16"/>
    </w:rPr>
  </w:style>
  <w:style w:type="paragraph" w:styleId="CommentText">
    <w:name w:val="annotation text"/>
    <w:basedOn w:val="Normal"/>
    <w:link w:val="CommentTextChar"/>
    <w:uiPriority w:val="99"/>
    <w:semiHidden/>
    <w:unhideWhenUsed/>
    <w:rsid w:val="00735541"/>
    <w:rPr>
      <w:sz w:val="20"/>
      <w:szCs w:val="20"/>
    </w:rPr>
  </w:style>
  <w:style w:type="character" w:customStyle="1" w:styleId="CommentTextChar">
    <w:name w:val="Comment Text Char"/>
    <w:basedOn w:val="DefaultParagraphFont"/>
    <w:link w:val="CommentText"/>
    <w:uiPriority w:val="99"/>
    <w:semiHidden/>
    <w:rsid w:val="00735541"/>
    <w:rPr>
      <w:rFonts w:ascii="Courier New" w:eastAsia="Courier New" w:hAnsi="Courier New" w:cs="Courier New"/>
      <w:color w:val="000000"/>
      <w:sz w:val="20"/>
      <w:szCs w:val="20"/>
      <w:lang w:val="ro-RO" w:eastAsia="ro-RO" w:bidi="ro-RO"/>
    </w:rPr>
  </w:style>
  <w:style w:type="paragraph" w:styleId="CommentSubject">
    <w:name w:val="annotation subject"/>
    <w:basedOn w:val="CommentText"/>
    <w:next w:val="CommentText"/>
    <w:link w:val="CommentSubjectChar"/>
    <w:uiPriority w:val="99"/>
    <w:semiHidden/>
    <w:unhideWhenUsed/>
    <w:rsid w:val="00735541"/>
    <w:rPr>
      <w:b/>
      <w:bCs/>
    </w:rPr>
  </w:style>
  <w:style w:type="character" w:customStyle="1" w:styleId="CommentSubjectChar">
    <w:name w:val="Comment Subject Char"/>
    <w:basedOn w:val="CommentTextChar"/>
    <w:link w:val="CommentSubject"/>
    <w:uiPriority w:val="99"/>
    <w:semiHidden/>
    <w:rsid w:val="00735541"/>
    <w:rPr>
      <w:rFonts w:ascii="Courier New" w:eastAsia="Courier New" w:hAnsi="Courier New" w:cs="Courier New"/>
      <w:b/>
      <w:bCs/>
      <w:color w:val="000000"/>
      <w:sz w:val="20"/>
      <w:szCs w:val="20"/>
      <w:lang w:val="ro-RO" w:eastAsia="ro-RO" w:bidi="ro-RO"/>
    </w:rPr>
  </w:style>
  <w:style w:type="paragraph" w:styleId="BalloonText">
    <w:name w:val="Balloon Text"/>
    <w:basedOn w:val="Normal"/>
    <w:link w:val="BalloonTextChar"/>
    <w:uiPriority w:val="99"/>
    <w:semiHidden/>
    <w:unhideWhenUsed/>
    <w:rsid w:val="0073554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5541"/>
    <w:rPr>
      <w:rFonts w:ascii="Segoe UI" w:eastAsia="Courier New" w:hAnsi="Segoe UI" w:cs="Segoe UI"/>
      <w:color w:val="000000"/>
      <w:sz w:val="18"/>
      <w:szCs w:val="18"/>
      <w:lang w:val="ro-RO" w:eastAsia="ro-RO" w:bidi="ro-RO"/>
    </w:rPr>
  </w:style>
  <w:style w:type="paragraph" w:styleId="Revision">
    <w:name w:val="Revision"/>
    <w:hidden/>
    <w:uiPriority w:val="99"/>
    <w:semiHidden/>
    <w:rsid w:val="00DB1201"/>
    <w:pPr>
      <w:spacing w:after="0" w:line="240" w:lineRule="auto"/>
    </w:pPr>
    <w:rPr>
      <w:rFonts w:ascii="Courier New" w:eastAsia="Courier New" w:hAnsi="Courier New" w:cs="Courier New"/>
      <w:color w:val="000000"/>
      <w:sz w:val="24"/>
      <w:szCs w:val="24"/>
      <w:lang w:val="ro-RO" w:eastAsia="ro-RO" w:bidi="ro-RO"/>
    </w:rPr>
  </w:style>
  <w:style w:type="paragraph" w:styleId="ListParagraph">
    <w:name w:val="List Paragraph"/>
    <w:basedOn w:val="Normal"/>
    <w:uiPriority w:val="34"/>
    <w:qFormat/>
    <w:rsid w:val="00451E17"/>
    <w:pPr>
      <w:ind w:left="720"/>
      <w:contextualSpacing/>
    </w:pPr>
  </w:style>
  <w:style w:type="character" w:styleId="Hyperlink">
    <w:name w:val="Hyperlink"/>
    <w:basedOn w:val="DefaultParagraphFont"/>
    <w:unhideWhenUsed/>
    <w:rsid w:val="00FA701E"/>
    <w:rPr>
      <w:color w:val="0000FF"/>
      <w:u w:val="single"/>
    </w:rPr>
  </w:style>
  <w:style w:type="character" w:customStyle="1" w:styleId="Heading3Char">
    <w:name w:val="Heading 3 Char"/>
    <w:basedOn w:val="DefaultParagraphFont"/>
    <w:link w:val="Heading3"/>
    <w:rsid w:val="00F141C3"/>
    <w:rPr>
      <w:rFonts w:ascii="Cambria" w:eastAsia="Times New Roman" w:hAnsi="Cambria" w:cs="Times New Roman"/>
      <w:b/>
      <w:bCs/>
      <w:sz w:val="26"/>
      <w:szCs w:val="26"/>
      <w:lang w:val="bg-BG"/>
    </w:rPr>
  </w:style>
  <w:style w:type="paragraph" w:customStyle="1" w:styleId="Default">
    <w:name w:val="Default"/>
    <w:rsid w:val="000E6F51"/>
    <w:pPr>
      <w:suppressAutoHyphens/>
      <w:autoSpaceDE w:val="0"/>
      <w:spacing w:after="0" w:line="240" w:lineRule="auto"/>
    </w:pPr>
    <w:rPr>
      <w:rFonts w:ascii="Arial" w:eastAsia="Times New Roman" w:hAnsi="Arial" w:cs="Arial"/>
      <w:color w:val="000000"/>
      <w:sz w:val="24"/>
      <w:szCs w:val="24"/>
      <w:lang w:val="bg-BG" w:eastAsia="zh-CN"/>
    </w:rPr>
  </w:style>
  <w:style w:type="paragraph" w:customStyle="1" w:styleId="gmail-msolistparagraph">
    <w:name w:val="gmail-msolistparagraph"/>
    <w:basedOn w:val="Normal"/>
    <w:rsid w:val="00B120E4"/>
    <w:pPr>
      <w:widowControl/>
      <w:spacing w:before="100" w:beforeAutospacing="1" w:after="100" w:afterAutospacing="1"/>
    </w:pPr>
    <w:rPr>
      <w:rFonts w:ascii="Times New Roman" w:eastAsia="Times New Roman" w:hAnsi="Times New Roman" w:cs="Times New Roman"/>
      <w:color w:val="auto"/>
      <w:lang w:val="en-US" w:eastAsia="en-US" w:bidi="ar-SA"/>
    </w:rPr>
  </w:style>
  <w:style w:type="character" w:customStyle="1" w:styleId="apple-converted-space">
    <w:name w:val="apple-converted-space"/>
    <w:basedOn w:val="DefaultParagraphFont"/>
    <w:rsid w:val="00B120E4"/>
  </w:style>
  <w:style w:type="paragraph" w:styleId="NormalWeb">
    <w:name w:val="Normal (Web)"/>
    <w:basedOn w:val="Normal"/>
    <w:uiPriority w:val="99"/>
    <w:semiHidden/>
    <w:unhideWhenUsed/>
    <w:rsid w:val="00041C40"/>
    <w:pPr>
      <w:widowControl/>
      <w:spacing w:before="100" w:beforeAutospacing="1" w:after="100" w:afterAutospacing="1"/>
    </w:pPr>
    <w:rPr>
      <w:rFonts w:ascii="Times New Roman" w:eastAsia="Times New Roman" w:hAnsi="Times New Roman" w:cs="Times New Roman"/>
      <w:color w:val="auto"/>
      <w:lang w:val="en-US" w:eastAsia="en-US" w:bidi="ar-SA"/>
    </w:rPr>
  </w:style>
  <w:style w:type="character" w:styleId="FollowedHyperlink">
    <w:name w:val="FollowedHyperlink"/>
    <w:basedOn w:val="DefaultParagraphFont"/>
    <w:uiPriority w:val="99"/>
    <w:semiHidden/>
    <w:unhideWhenUsed/>
    <w:rsid w:val="00AC18C6"/>
    <w:rPr>
      <w:color w:val="800080" w:themeColor="followedHyperlink"/>
      <w:u w:val="single"/>
    </w:rPr>
  </w:style>
  <w:style w:type="paragraph" w:styleId="FootnoteText">
    <w:name w:val="footnote text"/>
    <w:basedOn w:val="Normal"/>
    <w:link w:val="FootnoteTextChar"/>
    <w:uiPriority w:val="99"/>
    <w:semiHidden/>
    <w:unhideWhenUsed/>
    <w:rsid w:val="00167117"/>
    <w:rPr>
      <w:sz w:val="20"/>
      <w:szCs w:val="20"/>
    </w:rPr>
  </w:style>
  <w:style w:type="character" w:customStyle="1" w:styleId="FootnoteTextChar">
    <w:name w:val="Footnote Text Char"/>
    <w:basedOn w:val="DefaultParagraphFont"/>
    <w:link w:val="FootnoteText"/>
    <w:uiPriority w:val="99"/>
    <w:semiHidden/>
    <w:rsid w:val="00167117"/>
    <w:rPr>
      <w:rFonts w:ascii="Courier New" w:eastAsia="Courier New" w:hAnsi="Courier New" w:cs="Courier New"/>
      <w:color w:val="000000"/>
      <w:sz w:val="20"/>
      <w:szCs w:val="20"/>
      <w:lang w:val="ro-RO" w:eastAsia="ro-RO" w:bidi="ro-RO"/>
    </w:rPr>
  </w:style>
  <w:style w:type="character" w:styleId="FootnoteReference">
    <w:name w:val="footnote reference"/>
    <w:basedOn w:val="DefaultParagraphFont"/>
    <w:uiPriority w:val="99"/>
    <w:semiHidden/>
    <w:unhideWhenUsed/>
    <w:rsid w:val="00167117"/>
    <w:rPr>
      <w:vertAlign w:val="superscript"/>
    </w:rPr>
  </w:style>
  <w:style w:type="character" w:styleId="Strong">
    <w:name w:val="Strong"/>
    <w:basedOn w:val="DefaultParagraphFont"/>
    <w:uiPriority w:val="22"/>
    <w:qFormat/>
    <w:rsid w:val="00167117"/>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1B3B"/>
    <w:pPr>
      <w:widowControl w:val="0"/>
      <w:spacing w:after="0" w:line="240" w:lineRule="auto"/>
    </w:pPr>
    <w:rPr>
      <w:rFonts w:ascii="Courier New" w:eastAsia="Courier New" w:hAnsi="Courier New" w:cs="Courier New"/>
      <w:color w:val="000000"/>
      <w:sz w:val="24"/>
      <w:szCs w:val="24"/>
      <w:lang w:val="ro-RO" w:eastAsia="ro-RO" w:bidi="ro-RO"/>
    </w:rPr>
  </w:style>
  <w:style w:type="paragraph" w:styleId="Heading3">
    <w:name w:val="heading 3"/>
    <w:basedOn w:val="Normal"/>
    <w:next w:val="Normal"/>
    <w:link w:val="Heading3Char"/>
    <w:unhideWhenUsed/>
    <w:qFormat/>
    <w:rsid w:val="00F141C3"/>
    <w:pPr>
      <w:keepNext/>
      <w:widowControl/>
      <w:spacing w:before="240" w:after="60" w:line="276" w:lineRule="auto"/>
      <w:outlineLvl w:val="2"/>
    </w:pPr>
    <w:rPr>
      <w:rFonts w:ascii="Cambria" w:eastAsia="Times New Roman" w:hAnsi="Cambria" w:cs="Times New Roman"/>
      <w:b/>
      <w:bCs/>
      <w:color w:val="auto"/>
      <w:sz w:val="26"/>
      <w:szCs w:val="26"/>
      <w:lang w:val="bg-BG"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2">
    <w:name w:val="Body text (2)_"/>
    <w:basedOn w:val="DefaultParagraphFont"/>
    <w:link w:val="Bodytext20"/>
    <w:rsid w:val="005F1B3B"/>
    <w:rPr>
      <w:rFonts w:ascii="Arial" w:eastAsia="Arial" w:hAnsi="Arial" w:cs="Arial"/>
      <w:shd w:val="clear" w:color="auto" w:fill="FFFFFF"/>
    </w:rPr>
  </w:style>
  <w:style w:type="paragraph" w:customStyle="1" w:styleId="Bodytext20">
    <w:name w:val="Body text (2)"/>
    <w:basedOn w:val="Normal"/>
    <w:link w:val="Bodytext2"/>
    <w:rsid w:val="005F1B3B"/>
    <w:pPr>
      <w:shd w:val="clear" w:color="auto" w:fill="FFFFFF"/>
      <w:spacing w:before="540" w:after="180" w:line="310" w:lineRule="exact"/>
      <w:ind w:hanging="371"/>
      <w:jc w:val="both"/>
    </w:pPr>
    <w:rPr>
      <w:rFonts w:ascii="Arial" w:eastAsia="Arial" w:hAnsi="Arial" w:cs="Arial"/>
      <w:color w:val="auto"/>
      <w:sz w:val="22"/>
      <w:szCs w:val="22"/>
      <w:lang w:val="en-US" w:eastAsia="en-US" w:bidi="ar-SA"/>
    </w:rPr>
  </w:style>
  <w:style w:type="paragraph" w:styleId="Footer">
    <w:name w:val="footer"/>
    <w:basedOn w:val="Normal"/>
    <w:link w:val="FooterChar"/>
    <w:uiPriority w:val="99"/>
    <w:unhideWhenUsed/>
    <w:rsid w:val="005F1B3B"/>
    <w:pPr>
      <w:tabs>
        <w:tab w:val="center" w:pos="4703"/>
        <w:tab w:val="right" w:pos="9406"/>
      </w:tabs>
    </w:pPr>
  </w:style>
  <w:style w:type="character" w:customStyle="1" w:styleId="FooterChar">
    <w:name w:val="Footer Char"/>
    <w:basedOn w:val="DefaultParagraphFont"/>
    <w:link w:val="Footer"/>
    <w:uiPriority w:val="99"/>
    <w:rsid w:val="005F1B3B"/>
    <w:rPr>
      <w:rFonts w:ascii="Courier New" w:eastAsia="Courier New" w:hAnsi="Courier New" w:cs="Courier New"/>
      <w:color w:val="000000"/>
      <w:sz w:val="24"/>
      <w:szCs w:val="24"/>
      <w:lang w:val="ro-RO" w:eastAsia="ro-RO" w:bidi="ro-RO"/>
    </w:rPr>
  </w:style>
  <w:style w:type="paragraph" w:styleId="Header">
    <w:name w:val="header"/>
    <w:basedOn w:val="Normal"/>
    <w:link w:val="HeaderChar"/>
    <w:unhideWhenUsed/>
    <w:rsid w:val="009C2461"/>
    <w:pPr>
      <w:tabs>
        <w:tab w:val="center" w:pos="4703"/>
        <w:tab w:val="right" w:pos="9406"/>
      </w:tabs>
    </w:pPr>
  </w:style>
  <w:style w:type="character" w:customStyle="1" w:styleId="HeaderChar">
    <w:name w:val="Header Char"/>
    <w:basedOn w:val="DefaultParagraphFont"/>
    <w:link w:val="Header"/>
    <w:rsid w:val="009C2461"/>
    <w:rPr>
      <w:rFonts w:ascii="Courier New" w:eastAsia="Courier New" w:hAnsi="Courier New" w:cs="Courier New"/>
      <w:color w:val="000000"/>
      <w:sz w:val="24"/>
      <w:szCs w:val="24"/>
      <w:lang w:val="ro-RO" w:eastAsia="ro-RO" w:bidi="ro-RO"/>
    </w:rPr>
  </w:style>
  <w:style w:type="character" w:styleId="CommentReference">
    <w:name w:val="annotation reference"/>
    <w:basedOn w:val="DefaultParagraphFont"/>
    <w:uiPriority w:val="99"/>
    <w:semiHidden/>
    <w:unhideWhenUsed/>
    <w:rsid w:val="00735541"/>
    <w:rPr>
      <w:sz w:val="16"/>
      <w:szCs w:val="16"/>
    </w:rPr>
  </w:style>
  <w:style w:type="paragraph" w:styleId="CommentText">
    <w:name w:val="annotation text"/>
    <w:basedOn w:val="Normal"/>
    <w:link w:val="CommentTextChar"/>
    <w:uiPriority w:val="99"/>
    <w:semiHidden/>
    <w:unhideWhenUsed/>
    <w:rsid w:val="00735541"/>
    <w:rPr>
      <w:sz w:val="20"/>
      <w:szCs w:val="20"/>
    </w:rPr>
  </w:style>
  <w:style w:type="character" w:customStyle="1" w:styleId="CommentTextChar">
    <w:name w:val="Comment Text Char"/>
    <w:basedOn w:val="DefaultParagraphFont"/>
    <w:link w:val="CommentText"/>
    <w:uiPriority w:val="99"/>
    <w:semiHidden/>
    <w:rsid w:val="00735541"/>
    <w:rPr>
      <w:rFonts w:ascii="Courier New" w:eastAsia="Courier New" w:hAnsi="Courier New" w:cs="Courier New"/>
      <w:color w:val="000000"/>
      <w:sz w:val="20"/>
      <w:szCs w:val="20"/>
      <w:lang w:val="ro-RO" w:eastAsia="ro-RO" w:bidi="ro-RO"/>
    </w:rPr>
  </w:style>
  <w:style w:type="paragraph" w:styleId="CommentSubject">
    <w:name w:val="annotation subject"/>
    <w:basedOn w:val="CommentText"/>
    <w:next w:val="CommentText"/>
    <w:link w:val="CommentSubjectChar"/>
    <w:uiPriority w:val="99"/>
    <w:semiHidden/>
    <w:unhideWhenUsed/>
    <w:rsid w:val="00735541"/>
    <w:rPr>
      <w:b/>
      <w:bCs/>
    </w:rPr>
  </w:style>
  <w:style w:type="character" w:customStyle="1" w:styleId="CommentSubjectChar">
    <w:name w:val="Comment Subject Char"/>
    <w:basedOn w:val="CommentTextChar"/>
    <w:link w:val="CommentSubject"/>
    <w:uiPriority w:val="99"/>
    <w:semiHidden/>
    <w:rsid w:val="00735541"/>
    <w:rPr>
      <w:rFonts w:ascii="Courier New" w:eastAsia="Courier New" w:hAnsi="Courier New" w:cs="Courier New"/>
      <w:b/>
      <w:bCs/>
      <w:color w:val="000000"/>
      <w:sz w:val="20"/>
      <w:szCs w:val="20"/>
      <w:lang w:val="ro-RO" w:eastAsia="ro-RO" w:bidi="ro-RO"/>
    </w:rPr>
  </w:style>
  <w:style w:type="paragraph" w:styleId="BalloonText">
    <w:name w:val="Balloon Text"/>
    <w:basedOn w:val="Normal"/>
    <w:link w:val="BalloonTextChar"/>
    <w:uiPriority w:val="99"/>
    <w:semiHidden/>
    <w:unhideWhenUsed/>
    <w:rsid w:val="0073554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5541"/>
    <w:rPr>
      <w:rFonts w:ascii="Segoe UI" w:eastAsia="Courier New" w:hAnsi="Segoe UI" w:cs="Segoe UI"/>
      <w:color w:val="000000"/>
      <w:sz w:val="18"/>
      <w:szCs w:val="18"/>
      <w:lang w:val="ro-RO" w:eastAsia="ro-RO" w:bidi="ro-RO"/>
    </w:rPr>
  </w:style>
  <w:style w:type="paragraph" w:styleId="Revision">
    <w:name w:val="Revision"/>
    <w:hidden/>
    <w:uiPriority w:val="99"/>
    <w:semiHidden/>
    <w:rsid w:val="00DB1201"/>
    <w:pPr>
      <w:spacing w:after="0" w:line="240" w:lineRule="auto"/>
    </w:pPr>
    <w:rPr>
      <w:rFonts w:ascii="Courier New" w:eastAsia="Courier New" w:hAnsi="Courier New" w:cs="Courier New"/>
      <w:color w:val="000000"/>
      <w:sz w:val="24"/>
      <w:szCs w:val="24"/>
      <w:lang w:val="ro-RO" w:eastAsia="ro-RO" w:bidi="ro-RO"/>
    </w:rPr>
  </w:style>
  <w:style w:type="paragraph" w:styleId="ListParagraph">
    <w:name w:val="List Paragraph"/>
    <w:basedOn w:val="Normal"/>
    <w:uiPriority w:val="34"/>
    <w:qFormat/>
    <w:rsid w:val="00451E17"/>
    <w:pPr>
      <w:ind w:left="720"/>
      <w:contextualSpacing/>
    </w:pPr>
  </w:style>
  <w:style w:type="character" w:styleId="Hyperlink">
    <w:name w:val="Hyperlink"/>
    <w:basedOn w:val="DefaultParagraphFont"/>
    <w:unhideWhenUsed/>
    <w:rsid w:val="00FA701E"/>
    <w:rPr>
      <w:color w:val="0000FF"/>
      <w:u w:val="single"/>
    </w:rPr>
  </w:style>
  <w:style w:type="character" w:customStyle="1" w:styleId="Heading3Char">
    <w:name w:val="Heading 3 Char"/>
    <w:basedOn w:val="DefaultParagraphFont"/>
    <w:link w:val="Heading3"/>
    <w:rsid w:val="00F141C3"/>
    <w:rPr>
      <w:rFonts w:ascii="Cambria" w:eastAsia="Times New Roman" w:hAnsi="Cambria" w:cs="Times New Roman"/>
      <w:b/>
      <w:bCs/>
      <w:sz w:val="26"/>
      <w:szCs w:val="26"/>
      <w:lang w:val="bg-BG"/>
    </w:rPr>
  </w:style>
  <w:style w:type="paragraph" w:customStyle="1" w:styleId="Default">
    <w:name w:val="Default"/>
    <w:rsid w:val="000E6F51"/>
    <w:pPr>
      <w:suppressAutoHyphens/>
      <w:autoSpaceDE w:val="0"/>
      <w:spacing w:after="0" w:line="240" w:lineRule="auto"/>
    </w:pPr>
    <w:rPr>
      <w:rFonts w:ascii="Arial" w:eastAsia="Times New Roman" w:hAnsi="Arial" w:cs="Arial"/>
      <w:color w:val="000000"/>
      <w:sz w:val="24"/>
      <w:szCs w:val="24"/>
      <w:lang w:val="bg-BG" w:eastAsia="zh-CN"/>
    </w:rPr>
  </w:style>
  <w:style w:type="paragraph" w:customStyle="1" w:styleId="gmail-msolistparagraph">
    <w:name w:val="gmail-msolistparagraph"/>
    <w:basedOn w:val="Normal"/>
    <w:rsid w:val="00B120E4"/>
    <w:pPr>
      <w:widowControl/>
      <w:spacing w:before="100" w:beforeAutospacing="1" w:after="100" w:afterAutospacing="1"/>
    </w:pPr>
    <w:rPr>
      <w:rFonts w:ascii="Times New Roman" w:eastAsia="Times New Roman" w:hAnsi="Times New Roman" w:cs="Times New Roman"/>
      <w:color w:val="auto"/>
      <w:lang w:val="en-US" w:eastAsia="en-US" w:bidi="ar-SA"/>
    </w:rPr>
  </w:style>
  <w:style w:type="character" w:customStyle="1" w:styleId="apple-converted-space">
    <w:name w:val="apple-converted-space"/>
    <w:basedOn w:val="DefaultParagraphFont"/>
    <w:rsid w:val="00B120E4"/>
  </w:style>
  <w:style w:type="paragraph" w:styleId="NormalWeb">
    <w:name w:val="Normal (Web)"/>
    <w:basedOn w:val="Normal"/>
    <w:uiPriority w:val="99"/>
    <w:semiHidden/>
    <w:unhideWhenUsed/>
    <w:rsid w:val="00041C40"/>
    <w:pPr>
      <w:widowControl/>
      <w:spacing w:before="100" w:beforeAutospacing="1" w:after="100" w:afterAutospacing="1"/>
    </w:pPr>
    <w:rPr>
      <w:rFonts w:ascii="Times New Roman" w:eastAsia="Times New Roman" w:hAnsi="Times New Roman" w:cs="Times New Roman"/>
      <w:color w:val="auto"/>
      <w:lang w:val="en-US" w:eastAsia="en-US" w:bidi="ar-SA"/>
    </w:rPr>
  </w:style>
  <w:style w:type="character" w:styleId="FollowedHyperlink">
    <w:name w:val="FollowedHyperlink"/>
    <w:basedOn w:val="DefaultParagraphFont"/>
    <w:uiPriority w:val="99"/>
    <w:semiHidden/>
    <w:unhideWhenUsed/>
    <w:rsid w:val="00AC18C6"/>
    <w:rPr>
      <w:color w:val="800080" w:themeColor="followedHyperlink"/>
      <w:u w:val="single"/>
    </w:rPr>
  </w:style>
  <w:style w:type="paragraph" w:styleId="FootnoteText">
    <w:name w:val="footnote text"/>
    <w:basedOn w:val="Normal"/>
    <w:link w:val="FootnoteTextChar"/>
    <w:uiPriority w:val="99"/>
    <w:semiHidden/>
    <w:unhideWhenUsed/>
    <w:rsid w:val="00167117"/>
    <w:rPr>
      <w:sz w:val="20"/>
      <w:szCs w:val="20"/>
    </w:rPr>
  </w:style>
  <w:style w:type="character" w:customStyle="1" w:styleId="FootnoteTextChar">
    <w:name w:val="Footnote Text Char"/>
    <w:basedOn w:val="DefaultParagraphFont"/>
    <w:link w:val="FootnoteText"/>
    <w:uiPriority w:val="99"/>
    <w:semiHidden/>
    <w:rsid w:val="00167117"/>
    <w:rPr>
      <w:rFonts w:ascii="Courier New" w:eastAsia="Courier New" w:hAnsi="Courier New" w:cs="Courier New"/>
      <w:color w:val="000000"/>
      <w:sz w:val="20"/>
      <w:szCs w:val="20"/>
      <w:lang w:val="ro-RO" w:eastAsia="ro-RO" w:bidi="ro-RO"/>
    </w:rPr>
  </w:style>
  <w:style w:type="character" w:styleId="FootnoteReference">
    <w:name w:val="footnote reference"/>
    <w:basedOn w:val="DefaultParagraphFont"/>
    <w:uiPriority w:val="99"/>
    <w:semiHidden/>
    <w:unhideWhenUsed/>
    <w:rsid w:val="00167117"/>
    <w:rPr>
      <w:vertAlign w:val="superscript"/>
    </w:rPr>
  </w:style>
  <w:style w:type="character" w:styleId="Strong">
    <w:name w:val="Strong"/>
    <w:basedOn w:val="DefaultParagraphFont"/>
    <w:uiPriority w:val="22"/>
    <w:qFormat/>
    <w:rsid w:val="0016711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549963">
      <w:bodyDiv w:val="1"/>
      <w:marLeft w:val="0"/>
      <w:marRight w:val="0"/>
      <w:marTop w:val="0"/>
      <w:marBottom w:val="0"/>
      <w:divBdr>
        <w:top w:val="none" w:sz="0" w:space="0" w:color="auto"/>
        <w:left w:val="none" w:sz="0" w:space="0" w:color="auto"/>
        <w:bottom w:val="none" w:sz="0" w:space="0" w:color="auto"/>
        <w:right w:val="none" w:sz="0" w:space="0" w:color="auto"/>
      </w:divBdr>
    </w:div>
    <w:div w:id="60956243">
      <w:bodyDiv w:val="1"/>
      <w:marLeft w:val="0"/>
      <w:marRight w:val="0"/>
      <w:marTop w:val="0"/>
      <w:marBottom w:val="0"/>
      <w:divBdr>
        <w:top w:val="none" w:sz="0" w:space="0" w:color="auto"/>
        <w:left w:val="none" w:sz="0" w:space="0" w:color="auto"/>
        <w:bottom w:val="none" w:sz="0" w:space="0" w:color="auto"/>
        <w:right w:val="none" w:sz="0" w:space="0" w:color="auto"/>
      </w:divBdr>
    </w:div>
    <w:div w:id="508525863">
      <w:bodyDiv w:val="1"/>
      <w:marLeft w:val="0"/>
      <w:marRight w:val="0"/>
      <w:marTop w:val="0"/>
      <w:marBottom w:val="0"/>
      <w:divBdr>
        <w:top w:val="none" w:sz="0" w:space="0" w:color="auto"/>
        <w:left w:val="none" w:sz="0" w:space="0" w:color="auto"/>
        <w:bottom w:val="none" w:sz="0" w:space="0" w:color="auto"/>
        <w:right w:val="none" w:sz="0" w:space="0" w:color="auto"/>
      </w:divBdr>
    </w:div>
    <w:div w:id="670765957">
      <w:bodyDiv w:val="1"/>
      <w:marLeft w:val="0"/>
      <w:marRight w:val="0"/>
      <w:marTop w:val="0"/>
      <w:marBottom w:val="0"/>
      <w:divBdr>
        <w:top w:val="none" w:sz="0" w:space="0" w:color="auto"/>
        <w:left w:val="none" w:sz="0" w:space="0" w:color="auto"/>
        <w:bottom w:val="none" w:sz="0" w:space="0" w:color="auto"/>
        <w:right w:val="none" w:sz="0" w:space="0" w:color="auto"/>
      </w:divBdr>
    </w:div>
    <w:div w:id="799344588">
      <w:bodyDiv w:val="1"/>
      <w:marLeft w:val="0"/>
      <w:marRight w:val="0"/>
      <w:marTop w:val="0"/>
      <w:marBottom w:val="0"/>
      <w:divBdr>
        <w:top w:val="none" w:sz="0" w:space="0" w:color="auto"/>
        <w:left w:val="none" w:sz="0" w:space="0" w:color="auto"/>
        <w:bottom w:val="none" w:sz="0" w:space="0" w:color="auto"/>
        <w:right w:val="none" w:sz="0" w:space="0" w:color="auto"/>
      </w:divBdr>
    </w:div>
    <w:div w:id="836699614">
      <w:bodyDiv w:val="1"/>
      <w:marLeft w:val="0"/>
      <w:marRight w:val="0"/>
      <w:marTop w:val="0"/>
      <w:marBottom w:val="0"/>
      <w:divBdr>
        <w:top w:val="none" w:sz="0" w:space="0" w:color="auto"/>
        <w:left w:val="none" w:sz="0" w:space="0" w:color="auto"/>
        <w:bottom w:val="none" w:sz="0" w:space="0" w:color="auto"/>
        <w:right w:val="none" w:sz="0" w:space="0" w:color="auto"/>
      </w:divBdr>
    </w:div>
    <w:div w:id="898903457">
      <w:bodyDiv w:val="1"/>
      <w:marLeft w:val="0"/>
      <w:marRight w:val="0"/>
      <w:marTop w:val="0"/>
      <w:marBottom w:val="0"/>
      <w:divBdr>
        <w:top w:val="none" w:sz="0" w:space="0" w:color="auto"/>
        <w:left w:val="none" w:sz="0" w:space="0" w:color="auto"/>
        <w:bottom w:val="none" w:sz="0" w:space="0" w:color="auto"/>
        <w:right w:val="none" w:sz="0" w:space="0" w:color="auto"/>
      </w:divBdr>
    </w:div>
    <w:div w:id="1155758320">
      <w:bodyDiv w:val="1"/>
      <w:marLeft w:val="0"/>
      <w:marRight w:val="0"/>
      <w:marTop w:val="0"/>
      <w:marBottom w:val="0"/>
      <w:divBdr>
        <w:top w:val="none" w:sz="0" w:space="0" w:color="auto"/>
        <w:left w:val="none" w:sz="0" w:space="0" w:color="auto"/>
        <w:bottom w:val="none" w:sz="0" w:space="0" w:color="auto"/>
        <w:right w:val="none" w:sz="0" w:space="0" w:color="auto"/>
      </w:divBdr>
    </w:div>
    <w:div w:id="1426000349">
      <w:bodyDiv w:val="1"/>
      <w:marLeft w:val="0"/>
      <w:marRight w:val="0"/>
      <w:marTop w:val="0"/>
      <w:marBottom w:val="0"/>
      <w:divBdr>
        <w:top w:val="none" w:sz="0" w:space="0" w:color="auto"/>
        <w:left w:val="none" w:sz="0" w:space="0" w:color="auto"/>
        <w:bottom w:val="none" w:sz="0" w:space="0" w:color="auto"/>
        <w:right w:val="none" w:sz="0" w:space="0" w:color="auto"/>
      </w:divBdr>
    </w:div>
    <w:div w:id="2046983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481362-C1F9-41FD-B2AA-F4A0D37E9A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6020</Words>
  <Characters>34314</Characters>
  <Application>Microsoft Office Word</Application>
  <DocSecurity>0</DocSecurity>
  <Lines>285</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Miglena Kacarova</dc:creator>
  <cp:lastModifiedBy>Gergana Koleva</cp:lastModifiedBy>
  <cp:revision>2</cp:revision>
  <cp:lastPrinted>2019-10-21T14:23:00Z</cp:lastPrinted>
  <dcterms:created xsi:type="dcterms:W3CDTF">2020-08-04T14:04:00Z</dcterms:created>
  <dcterms:modified xsi:type="dcterms:W3CDTF">2020-08-04T14:04:00Z</dcterms:modified>
</cp:coreProperties>
</file>