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E8B" w:rsidRDefault="00674E8B">
      <w:pPr>
        <w:ind w:right="1112"/>
        <w:jc w:val="both"/>
        <w:rPr>
          <w:rFonts w:ascii="Times New Roman" w:hAnsi="Times New Roman" w:cs="Times New Roman"/>
          <w:color w:val="000000"/>
          <w:sz w:val="20"/>
          <w:szCs w:val="20"/>
        </w:rPr>
      </w:pPr>
      <w:bookmarkStart w:id="0" w:name="_GoBack"/>
      <w:bookmarkEnd w:id="0"/>
    </w:p>
    <w:p w:rsidR="00674E8B" w:rsidRDefault="00674E8B">
      <w:pPr>
        <w:ind w:right="1112"/>
        <w:jc w:val="both"/>
        <w:rPr>
          <w:rFonts w:ascii="Times New Roman" w:hAnsi="Times New Roman" w:cs="Times New Roman"/>
          <w:color w:val="000000"/>
          <w:sz w:val="20"/>
          <w:szCs w:val="20"/>
        </w:rPr>
      </w:pPr>
    </w:p>
    <w:p w:rsidR="00674E8B" w:rsidRDefault="00674E8B">
      <w:pPr>
        <w:ind w:right="1112"/>
        <w:jc w:val="both"/>
        <w:rPr>
          <w:rFonts w:ascii="Times New Roman" w:hAnsi="Times New Roman" w:cs="Times New Roman"/>
          <w:color w:val="000000"/>
          <w:sz w:val="20"/>
          <w:szCs w:val="20"/>
        </w:rPr>
      </w:pPr>
    </w:p>
    <w:p w:rsidR="00674E8B" w:rsidRDefault="00674E8B">
      <w:pPr>
        <w:ind w:right="1112"/>
        <w:jc w:val="both"/>
        <w:rPr>
          <w:rFonts w:ascii="Times New Roman" w:hAnsi="Times New Roman" w:cs="Times New Roman"/>
          <w:color w:val="000000"/>
          <w:sz w:val="20"/>
          <w:szCs w:val="20"/>
        </w:rPr>
      </w:pPr>
    </w:p>
    <w:p w:rsidR="00674E8B" w:rsidRDefault="00674E8B">
      <w:pPr>
        <w:ind w:right="1112"/>
        <w:jc w:val="both"/>
        <w:rPr>
          <w:rFonts w:ascii="Times New Roman" w:hAnsi="Times New Roman" w:cs="Times New Roman"/>
          <w:color w:val="000000"/>
          <w:sz w:val="20"/>
          <w:szCs w:val="20"/>
        </w:rPr>
      </w:pPr>
    </w:p>
    <w:p w:rsidR="00674E8B" w:rsidRDefault="00674E8B">
      <w:pPr>
        <w:spacing w:before="1"/>
        <w:ind w:right="1112"/>
        <w:jc w:val="both"/>
        <w:rPr>
          <w:rFonts w:ascii="Times New Roman" w:hAnsi="Times New Roman" w:cs="Times New Roman"/>
          <w:color w:val="000000"/>
          <w:sz w:val="17"/>
          <w:szCs w:val="17"/>
        </w:rPr>
      </w:pPr>
    </w:p>
    <w:p w:rsidR="00674E8B" w:rsidRDefault="00674E8B">
      <w:pPr>
        <w:spacing w:before="90"/>
        <w:ind w:right="1112"/>
        <w:jc w:val="both"/>
        <w:rPr>
          <w:b/>
          <w:sz w:val="26"/>
          <w:szCs w:val="26"/>
        </w:rPr>
      </w:pPr>
      <w:r>
        <w:rPr>
          <w:b/>
          <w:sz w:val="26"/>
          <w:szCs w:val="26"/>
        </w:rPr>
        <w:t>58-мо Международно изложение на изкуствата</w:t>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3.png" o:spid="_x0000_s1027" type="#_x0000_t75" style="position:absolute;left:0;text-align:left;margin-left:422.85pt;margin-top:-66.9pt;width:135.45pt;height:125.95pt;z-index:251658240;visibility:visible;mso-wrap-distance-left:0;mso-wrap-distance-right:0;mso-position-horizontal-relative:margin;mso-position-vertical-relative:text">
            <v:imagedata r:id="rId7" o:title=""/>
            <w10:wrap anchorx="margin"/>
          </v:shape>
        </w:pict>
      </w:r>
    </w:p>
    <w:p w:rsidR="00674E8B" w:rsidRDefault="00674E8B">
      <w:pPr>
        <w:spacing w:before="308"/>
        <w:ind w:right="1112"/>
        <w:jc w:val="both"/>
        <w:rPr>
          <w:b/>
          <w:sz w:val="32"/>
          <w:szCs w:val="32"/>
        </w:rPr>
      </w:pPr>
      <w:r>
        <w:rPr>
          <w:b/>
          <w:sz w:val="32"/>
          <w:szCs w:val="32"/>
        </w:rPr>
        <w:t>Процедура за национални участници</w:t>
      </w: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ind w:right="1112"/>
        <w:jc w:val="both"/>
        <w:rPr>
          <w:b/>
          <w:color w:val="000000"/>
          <w:sz w:val="20"/>
          <w:szCs w:val="20"/>
        </w:rPr>
      </w:pPr>
    </w:p>
    <w:p w:rsidR="00674E8B" w:rsidRDefault="00674E8B">
      <w:pPr>
        <w:pStyle w:val="Heading1"/>
        <w:spacing w:before="257"/>
        <w:ind w:left="0" w:right="1112"/>
        <w:jc w:val="both"/>
      </w:pPr>
      <w:r>
        <w:t>Член 1 — Раздели на Международното изложение на изкуствата</w:t>
      </w:r>
    </w:p>
    <w:p w:rsidR="00674E8B" w:rsidRDefault="00674E8B">
      <w:pPr>
        <w:spacing w:before="114"/>
        <w:ind w:right="1112"/>
        <w:jc w:val="both"/>
        <w:rPr>
          <w:sz w:val="26"/>
          <w:szCs w:val="26"/>
        </w:rPr>
      </w:pPr>
      <w:r>
        <w:rPr>
          <w:sz w:val="26"/>
          <w:szCs w:val="26"/>
        </w:rPr>
        <w:t xml:space="preserve">Венецианското биенале (наричано по-нататък „Биенале“) е популяризатор и организатор на 58-ото Международно изложение на изкуствата, което ще бъде отворено за посетители от </w:t>
      </w:r>
      <w:r>
        <w:rPr>
          <w:b/>
          <w:sz w:val="26"/>
          <w:szCs w:val="26"/>
        </w:rPr>
        <w:t>11 май до 24 ноември 2019 г. (предварителен преглед на 8, 9 и 10 май 2019 г.)</w:t>
      </w:r>
      <w:r>
        <w:rPr>
          <w:sz w:val="26"/>
          <w:szCs w:val="26"/>
        </w:rPr>
        <w:t>.</w:t>
      </w:r>
    </w:p>
    <w:p w:rsidR="00674E8B" w:rsidRDefault="00674E8B">
      <w:pPr>
        <w:spacing w:before="114"/>
        <w:ind w:right="1112"/>
        <w:jc w:val="both"/>
        <w:rPr>
          <w:color w:val="000000"/>
          <w:sz w:val="26"/>
          <w:szCs w:val="26"/>
        </w:rPr>
      </w:pPr>
      <w:r>
        <w:rPr>
          <w:color w:val="000000"/>
          <w:sz w:val="26"/>
          <w:szCs w:val="26"/>
        </w:rPr>
        <w:t>Изложението ще бъде курирано от Ралф Ругоф (наричан по-нататък „художествен директор“) и ще се проведе в институционалните средища на парковото пространство „Джардини“ и в „Арсенале“, като части от него ще се провеждат и на други места в град Венеция.</w:t>
      </w:r>
    </w:p>
    <w:p w:rsidR="00674E8B" w:rsidRDefault="00674E8B">
      <w:pPr>
        <w:spacing w:before="114"/>
        <w:ind w:right="1112"/>
        <w:jc w:val="both"/>
        <w:rPr>
          <w:color w:val="000000"/>
          <w:sz w:val="26"/>
          <w:szCs w:val="26"/>
        </w:rPr>
      </w:pPr>
      <w:r>
        <w:rPr>
          <w:color w:val="000000"/>
          <w:sz w:val="26"/>
          <w:szCs w:val="26"/>
        </w:rPr>
        <w:t>Художественият директор отговаря за развитието и реализацията на събитието, следвайки организацията на Биенале.</w:t>
      </w:r>
    </w:p>
    <w:p w:rsidR="00674E8B" w:rsidRDefault="00674E8B">
      <w:pPr>
        <w:spacing w:before="107"/>
        <w:ind w:right="1112"/>
        <w:jc w:val="both"/>
        <w:rPr>
          <w:color w:val="000000"/>
          <w:sz w:val="26"/>
          <w:szCs w:val="26"/>
        </w:rPr>
      </w:pPr>
      <w:r>
        <w:rPr>
          <w:color w:val="000000"/>
          <w:sz w:val="26"/>
          <w:szCs w:val="26"/>
        </w:rPr>
        <w:t>Изложбата ще бъде разделена на:</w:t>
      </w:r>
    </w:p>
    <w:p w:rsidR="00674E8B" w:rsidRDefault="00674E8B">
      <w:pPr>
        <w:numPr>
          <w:ilvl w:val="0"/>
          <w:numId w:val="2"/>
        </w:numPr>
        <w:tabs>
          <w:tab w:val="left" w:pos="397"/>
        </w:tabs>
        <w:spacing w:before="107"/>
        <w:ind w:left="0" w:right="1112" w:firstLine="0"/>
        <w:jc w:val="both"/>
        <w:rPr>
          <w:color w:val="000000"/>
        </w:rPr>
      </w:pPr>
      <w:r>
        <w:rPr>
          <w:b/>
          <w:color w:val="000000"/>
          <w:sz w:val="26"/>
          <w:szCs w:val="26"/>
        </w:rPr>
        <w:t>Международно изложение</w:t>
      </w:r>
      <w:r>
        <w:rPr>
          <w:color w:val="000000"/>
          <w:sz w:val="26"/>
          <w:szCs w:val="26"/>
        </w:rPr>
        <w:t>, курирано от художествения директор;</w:t>
      </w:r>
    </w:p>
    <w:p w:rsidR="00674E8B" w:rsidRDefault="00674E8B">
      <w:pPr>
        <w:numPr>
          <w:ilvl w:val="0"/>
          <w:numId w:val="2"/>
        </w:numPr>
        <w:tabs>
          <w:tab w:val="left" w:pos="407"/>
        </w:tabs>
        <w:spacing w:before="107"/>
        <w:ind w:left="0" w:right="1112" w:firstLine="0"/>
        <w:jc w:val="both"/>
        <w:rPr>
          <w:color w:val="000000"/>
        </w:rPr>
      </w:pPr>
      <w:r>
        <w:rPr>
          <w:b/>
          <w:color w:val="000000"/>
          <w:sz w:val="26"/>
          <w:szCs w:val="26"/>
        </w:rPr>
        <w:t xml:space="preserve">Национални участия </w:t>
      </w:r>
      <w:r>
        <w:rPr>
          <w:color w:val="000000"/>
          <w:sz w:val="26"/>
          <w:szCs w:val="26"/>
        </w:rPr>
        <w:t>от индивидуалните чужди държави;</w:t>
      </w:r>
    </w:p>
    <w:p w:rsidR="00674E8B" w:rsidRDefault="00674E8B">
      <w:pPr>
        <w:numPr>
          <w:ilvl w:val="0"/>
          <w:numId w:val="2"/>
        </w:numPr>
        <w:tabs>
          <w:tab w:val="left" w:pos="378"/>
        </w:tabs>
        <w:spacing w:before="107"/>
        <w:ind w:left="0" w:right="1112" w:firstLine="0"/>
        <w:jc w:val="both"/>
        <w:rPr>
          <w:color w:val="000000"/>
        </w:rPr>
      </w:pPr>
      <w:r>
        <w:rPr>
          <w:b/>
          <w:color w:val="000000"/>
          <w:sz w:val="26"/>
          <w:szCs w:val="26"/>
        </w:rPr>
        <w:t>Съвместни събития</w:t>
      </w:r>
      <w:r>
        <w:rPr>
          <w:color w:val="000000"/>
          <w:sz w:val="26"/>
          <w:szCs w:val="26"/>
        </w:rPr>
        <w:t>,</w:t>
      </w:r>
      <w:r>
        <w:rPr>
          <w:b/>
          <w:color w:val="000000"/>
          <w:sz w:val="26"/>
          <w:szCs w:val="26"/>
        </w:rPr>
        <w:t xml:space="preserve"> </w:t>
      </w:r>
      <w:r>
        <w:rPr>
          <w:color w:val="000000"/>
          <w:sz w:val="26"/>
          <w:szCs w:val="26"/>
        </w:rPr>
        <w:t>подбрани и промотирани от Биенале.</w:t>
      </w:r>
    </w:p>
    <w:p w:rsidR="00674E8B" w:rsidRDefault="00674E8B">
      <w:pPr>
        <w:ind w:right="1112"/>
        <w:jc w:val="both"/>
        <w:rPr>
          <w:color w:val="000000"/>
          <w:sz w:val="30"/>
          <w:szCs w:val="30"/>
        </w:rPr>
      </w:pPr>
    </w:p>
    <w:p w:rsidR="00674E8B" w:rsidRDefault="00674E8B">
      <w:pPr>
        <w:pStyle w:val="Heading1"/>
        <w:spacing w:before="223"/>
        <w:ind w:left="0" w:right="1112"/>
        <w:jc w:val="both"/>
      </w:pPr>
      <w:r>
        <w:t>Член 2— Собственост на националните участници</w:t>
      </w:r>
    </w:p>
    <w:p w:rsidR="00674E8B" w:rsidRDefault="00674E8B">
      <w:pPr>
        <w:spacing w:before="114"/>
        <w:ind w:right="1112"/>
        <w:jc w:val="both"/>
        <w:rPr>
          <w:sz w:val="26"/>
          <w:szCs w:val="26"/>
        </w:rPr>
      </w:pPr>
      <w:r>
        <w:rPr>
          <w:sz w:val="26"/>
          <w:szCs w:val="26"/>
        </w:rPr>
        <w:t xml:space="preserve">В изложението ще участват </w:t>
      </w:r>
      <w:r>
        <w:rPr>
          <w:b/>
          <w:sz w:val="26"/>
          <w:szCs w:val="26"/>
        </w:rPr>
        <w:t xml:space="preserve">държавите, официално поканени от Биенале да изложат своите павилиони на територията на Джардини ди Кастело, и тези, които имат дългосрочни павилиони в Арсенале (Sale d’Armi). </w:t>
      </w:r>
      <w:r>
        <w:rPr>
          <w:sz w:val="26"/>
          <w:szCs w:val="26"/>
        </w:rPr>
        <w:t>Биенале запазва правото си да иска от държавите, които няма да използват своите павилиони за участие в изложението, да ги предоставят на изложението за институционални цели.</w:t>
      </w:r>
    </w:p>
    <w:p w:rsidR="00674E8B" w:rsidRDefault="00674E8B">
      <w:pPr>
        <w:spacing w:before="114"/>
        <w:ind w:right="1112"/>
        <w:jc w:val="both"/>
        <w:rPr>
          <w:b/>
          <w:sz w:val="26"/>
          <w:szCs w:val="26"/>
        </w:rPr>
      </w:pPr>
      <w:r>
        <w:rPr>
          <w:sz w:val="26"/>
          <w:szCs w:val="26"/>
        </w:rPr>
        <w:t xml:space="preserve">Участие в изложението ще бъде гарантирано и на </w:t>
      </w:r>
      <w:r>
        <w:rPr>
          <w:b/>
          <w:sz w:val="26"/>
          <w:szCs w:val="26"/>
        </w:rPr>
        <w:t>държавите, които не разполагат с павилион, но са подали официално заявление за участие в Биенале, а Биенале е потвърдило поканата след провеждане на процедурите, описани в следните членове 3 и</w:t>
      </w:r>
    </w:p>
    <w:p w:rsidR="00674E8B" w:rsidRDefault="00674E8B">
      <w:pPr>
        <w:ind w:right="1112"/>
        <w:jc w:val="both"/>
        <w:rPr>
          <w:color w:val="000000"/>
          <w:sz w:val="26"/>
          <w:szCs w:val="26"/>
        </w:rPr>
      </w:pPr>
      <w:r>
        <w:rPr>
          <w:b/>
          <w:color w:val="000000"/>
          <w:sz w:val="26"/>
          <w:szCs w:val="26"/>
        </w:rPr>
        <w:t xml:space="preserve">4. </w:t>
      </w:r>
      <w:r>
        <w:rPr>
          <w:color w:val="000000"/>
          <w:sz w:val="26"/>
          <w:szCs w:val="26"/>
        </w:rPr>
        <w:t>Тези държави трябва да намерят подходящи места за организиране на си изложение на различни локации извън Джардини ди Кастело и Арсенали и възможно най-скоро да отправят искане до отдела за визуални изкуства да включи участието им в официалните програми и прессъобщенията на Биенале.</w:t>
      </w:r>
    </w:p>
    <w:p w:rsidR="00674E8B" w:rsidRDefault="00674E8B">
      <w:pPr>
        <w:spacing w:before="113"/>
        <w:ind w:right="1112"/>
        <w:jc w:val="both"/>
        <w:rPr>
          <w:color w:val="000000"/>
          <w:sz w:val="26"/>
          <w:szCs w:val="26"/>
        </w:rPr>
      </w:pPr>
      <w:r>
        <w:rPr>
          <w:color w:val="000000"/>
          <w:sz w:val="26"/>
          <w:szCs w:val="26"/>
        </w:rPr>
        <w:t>Избраното място за изложението трябва да бъде отбелязано предварително от участващата държава и включено от собственика му във „виртуалното табло за известия“, публикувано на уебсайта на Биенале,</w:t>
      </w:r>
      <w:r>
        <w:rPr>
          <w:sz w:val="26"/>
          <w:szCs w:val="26"/>
        </w:rPr>
        <w:t xml:space="preserve"> </w:t>
      </w:r>
      <w:hyperlink r:id="rId8">
        <w:r>
          <w:rPr>
            <w:color w:val="000000"/>
            <w:sz w:val="26"/>
            <w:szCs w:val="26"/>
          </w:rPr>
          <w:t>www.labiennale.org/en/biennale-noticeboard,</w:t>
        </w:r>
      </w:hyperlink>
      <w:r>
        <w:rPr>
          <w:sz w:val="26"/>
          <w:szCs w:val="26"/>
        </w:rPr>
        <w:t xml:space="preserve"> </w:t>
      </w:r>
      <w:r>
        <w:rPr>
          <w:color w:val="000000"/>
          <w:sz w:val="26"/>
          <w:szCs w:val="26"/>
        </w:rPr>
        <w:t>следвайки посочената процедура и в съответствие с действащото италианско право.</w:t>
      </w:r>
    </w:p>
    <w:p w:rsidR="00674E8B" w:rsidRDefault="00674E8B">
      <w:pPr>
        <w:spacing w:before="114"/>
        <w:ind w:right="1112"/>
        <w:jc w:val="both"/>
        <w:rPr>
          <w:color w:val="000000"/>
          <w:sz w:val="26"/>
          <w:szCs w:val="26"/>
        </w:rPr>
      </w:pPr>
      <w:r>
        <w:rPr>
          <w:color w:val="000000"/>
          <w:sz w:val="26"/>
          <w:szCs w:val="26"/>
        </w:rPr>
        <w:t>В случай че национални участници, резервирали места за изложение, са домакини на инициативи, които не са част от програмата на Изложението, комисарят ще гарантира, че използваните от националните участници пространства за изложение се разпознават лесно и са отделени от пространствата за изложение, използвани за други инициативи, които не са включени в Изложението.</w:t>
      </w:r>
    </w:p>
    <w:p w:rsidR="00674E8B" w:rsidRDefault="00674E8B">
      <w:pPr>
        <w:spacing w:before="114"/>
        <w:ind w:right="1112"/>
        <w:jc w:val="both"/>
        <w:rPr>
          <w:color w:val="000000"/>
          <w:sz w:val="26"/>
          <w:szCs w:val="26"/>
        </w:rPr>
      </w:pPr>
      <w:r>
        <w:rPr>
          <w:color w:val="000000"/>
          <w:sz w:val="26"/>
          <w:szCs w:val="26"/>
        </w:rPr>
        <w:t>Освен това за мястото на провеждане следва да са предвидени адекватни вътрешни и външни табели, предназначени специално за националния участник.</w:t>
      </w:r>
    </w:p>
    <w:p w:rsidR="00674E8B" w:rsidRDefault="00674E8B">
      <w:pPr>
        <w:ind w:right="1112"/>
        <w:jc w:val="both"/>
        <w:rPr>
          <w:color w:val="000000"/>
          <w:sz w:val="28"/>
          <w:szCs w:val="28"/>
        </w:rPr>
      </w:pPr>
    </w:p>
    <w:p w:rsidR="00674E8B" w:rsidRDefault="00674E8B">
      <w:pPr>
        <w:spacing w:before="10"/>
        <w:ind w:right="1112"/>
        <w:jc w:val="both"/>
        <w:rPr>
          <w:color w:val="000000"/>
          <w:sz w:val="20"/>
          <w:szCs w:val="20"/>
        </w:rPr>
      </w:pPr>
    </w:p>
    <w:p w:rsidR="00674E8B" w:rsidRDefault="00674E8B">
      <w:pPr>
        <w:pStyle w:val="Heading1"/>
        <w:spacing w:before="0"/>
        <w:ind w:left="0" w:right="1112"/>
        <w:jc w:val="both"/>
      </w:pPr>
      <w:r>
        <w:t>Член 3 — Официално искане за участие от държави с постоянен павилион в Джардини или дългосрочен павилион в Арсенале</w:t>
      </w:r>
    </w:p>
    <w:p w:rsidR="00674E8B" w:rsidRDefault="00674E8B">
      <w:pPr>
        <w:spacing w:before="114"/>
        <w:ind w:right="1112"/>
        <w:jc w:val="both"/>
        <w:rPr>
          <w:color w:val="000000"/>
          <w:sz w:val="26"/>
          <w:szCs w:val="26"/>
        </w:rPr>
      </w:pPr>
      <w:r>
        <w:rPr>
          <w:color w:val="000000"/>
          <w:sz w:val="26"/>
          <w:szCs w:val="26"/>
        </w:rPr>
        <w:t xml:space="preserve">Като се има предвид уникалността на всеки национален участник, </w:t>
      </w:r>
      <w:r>
        <w:rPr>
          <w:b/>
          <w:color w:val="000000"/>
          <w:sz w:val="26"/>
          <w:szCs w:val="26"/>
        </w:rPr>
        <w:t xml:space="preserve">правителственият орган </w:t>
      </w:r>
      <w:r>
        <w:rPr>
          <w:color w:val="000000"/>
          <w:sz w:val="26"/>
          <w:szCs w:val="26"/>
        </w:rPr>
        <w:t xml:space="preserve">на държавата определя </w:t>
      </w:r>
      <w:r>
        <w:rPr>
          <w:b/>
          <w:color w:val="000000"/>
          <w:sz w:val="26"/>
          <w:szCs w:val="26"/>
        </w:rPr>
        <w:t>Комисар</w:t>
      </w:r>
      <w:r>
        <w:rPr>
          <w:color w:val="000000"/>
          <w:sz w:val="26"/>
          <w:szCs w:val="26"/>
        </w:rPr>
        <w:t>, който трябва да принадлежи на правителствения орган или на делегираната публична институция, представляваща държавата.</w:t>
      </w:r>
    </w:p>
    <w:p w:rsidR="00674E8B" w:rsidRDefault="00674E8B">
      <w:pPr>
        <w:spacing w:before="114"/>
        <w:ind w:right="1112"/>
        <w:jc w:val="both"/>
        <w:rPr>
          <w:color w:val="000000"/>
          <w:sz w:val="26"/>
          <w:szCs w:val="26"/>
        </w:rPr>
      </w:pPr>
      <w:r>
        <w:rPr>
          <w:color w:val="000000"/>
          <w:sz w:val="26"/>
          <w:szCs w:val="26"/>
        </w:rPr>
        <w:t xml:space="preserve">Като представител и пряк посредник на правителствения орган на държавата Комисарят ще гарантира прозрачността на организационния процес, ще извършва надзор над проекта на националния участник и ще носи отговорност за изложението на павилиона на държавата със съгласието на Биенале и при спазване на културните и организационните стандарти на Изложението.  Не се допускат заместник-комисари или съ-комисари. Биенале трябва да бъде официално уведомено за определянето на комисар не по-късно от </w:t>
      </w:r>
      <w:r>
        <w:rPr>
          <w:b/>
          <w:color w:val="000000"/>
          <w:sz w:val="26"/>
          <w:szCs w:val="26"/>
        </w:rPr>
        <w:t>30 ноември 2018 г.</w:t>
      </w:r>
      <w:r>
        <w:rPr>
          <w:color w:val="000000"/>
          <w:sz w:val="26"/>
          <w:szCs w:val="26"/>
        </w:rPr>
        <w:t xml:space="preserve">  Като представител и пряк посредник на правителствения орган на държавата на Комисаря не се разрешава да изпълнява такава роля за повече от една държава.</w:t>
      </w:r>
    </w:p>
    <w:p w:rsidR="00674E8B" w:rsidRDefault="00674E8B">
      <w:pPr>
        <w:spacing w:before="114"/>
        <w:ind w:right="1112"/>
        <w:jc w:val="both"/>
        <w:rPr>
          <w:color w:val="000000"/>
          <w:sz w:val="26"/>
          <w:szCs w:val="26"/>
        </w:rPr>
      </w:pPr>
      <w:r>
        <w:rPr>
          <w:color w:val="000000"/>
          <w:sz w:val="26"/>
          <w:szCs w:val="26"/>
        </w:rPr>
        <w:t xml:space="preserve">Същите съображения са приложими и към процеса, чрез който правителственият орган определя </w:t>
      </w:r>
      <w:r>
        <w:rPr>
          <w:b/>
          <w:color w:val="000000"/>
          <w:sz w:val="26"/>
          <w:szCs w:val="26"/>
        </w:rPr>
        <w:t>Куратор</w:t>
      </w:r>
      <w:r>
        <w:rPr>
          <w:color w:val="000000"/>
          <w:sz w:val="26"/>
          <w:szCs w:val="26"/>
        </w:rPr>
        <w:t xml:space="preserve">, съобщава на Биенале за процедурите за номиниране и своевременно уведомява за определения куратор, при всички случаи </w:t>
      </w:r>
      <w:r>
        <w:rPr>
          <w:b/>
          <w:color w:val="000000"/>
          <w:sz w:val="26"/>
          <w:szCs w:val="26"/>
        </w:rPr>
        <w:t>преди официалното му публично обявяване</w:t>
      </w:r>
      <w:r>
        <w:rPr>
          <w:color w:val="000000"/>
          <w:sz w:val="26"/>
          <w:szCs w:val="26"/>
        </w:rPr>
        <w:t>. Като представител и пряк художествен посредник на правителствения орган на държавата Кураторът не може да изпълнява същата роля нито за други национални участници, нито в съвместни събития.</w:t>
      </w:r>
    </w:p>
    <w:p w:rsidR="00674E8B" w:rsidRDefault="00674E8B">
      <w:pPr>
        <w:ind w:right="1112"/>
        <w:jc w:val="both"/>
        <w:rPr>
          <w:color w:val="000000"/>
          <w:sz w:val="28"/>
          <w:szCs w:val="28"/>
        </w:rPr>
      </w:pPr>
    </w:p>
    <w:p w:rsidR="00674E8B" w:rsidRDefault="00674E8B">
      <w:pPr>
        <w:spacing w:before="10"/>
        <w:ind w:right="1112"/>
        <w:jc w:val="both"/>
        <w:rPr>
          <w:color w:val="000000"/>
          <w:sz w:val="20"/>
          <w:szCs w:val="20"/>
        </w:rPr>
      </w:pPr>
    </w:p>
    <w:p w:rsidR="00674E8B" w:rsidRDefault="00674E8B">
      <w:pPr>
        <w:pStyle w:val="Heading1"/>
        <w:spacing w:before="0"/>
        <w:ind w:left="0" w:right="1112"/>
        <w:jc w:val="both"/>
      </w:pPr>
      <w:r>
        <w:t>Член 4 — Официално искане за участие от държави, които нямат постоянен павилион в Джардини или дългосрочен павилион в Арсенале</w:t>
      </w:r>
    </w:p>
    <w:p w:rsidR="00674E8B" w:rsidRDefault="00674E8B">
      <w:pPr>
        <w:spacing w:before="114"/>
        <w:ind w:right="1112"/>
        <w:jc w:val="both"/>
        <w:rPr>
          <w:color w:val="000000"/>
          <w:sz w:val="26"/>
          <w:szCs w:val="26"/>
        </w:rPr>
      </w:pPr>
      <w:r>
        <w:rPr>
          <w:color w:val="000000"/>
          <w:sz w:val="26"/>
          <w:szCs w:val="26"/>
        </w:rPr>
        <w:t xml:space="preserve">Официалното заявление за участие ще трябва да бъде подписано от компетентния </w:t>
      </w:r>
      <w:r>
        <w:rPr>
          <w:b/>
          <w:color w:val="000000"/>
          <w:sz w:val="26"/>
          <w:szCs w:val="26"/>
        </w:rPr>
        <w:t xml:space="preserve">правителствен орган </w:t>
      </w:r>
      <w:r>
        <w:rPr>
          <w:color w:val="000000"/>
          <w:sz w:val="26"/>
          <w:szCs w:val="26"/>
        </w:rPr>
        <w:t>или от правителствената публична институция, която е по-тясно свързана с правителствения</w:t>
      </w:r>
    </w:p>
    <w:p w:rsidR="00674E8B" w:rsidRDefault="00674E8B">
      <w:pPr>
        <w:ind w:right="1112"/>
        <w:jc w:val="both"/>
        <w:rPr>
          <w:sz w:val="26"/>
          <w:szCs w:val="26"/>
        </w:rPr>
      </w:pPr>
    </w:p>
    <w:p w:rsidR="00674E8B" w:rsidRDefault="00674E8B">
      <w:pPr>
        <w:spacing w:line="276" w:lineRule="auto"/>
        <w:ind w:right="1112"/>
        <w:jc w:val="both"/>
        <w:rPr>
          <w:sz w:val="26"/>
          <w:szCs w:val="26"/>
        </w:rPr>
        <w:sectPr w:rsidR="00674E8B">
          <w:headerReference w:type="default" r:id="rId9"/>
          <w:footerReference w:type="default" r:id="rId10"/>
          <w:pgSz w:w="11910" w:h="16840"/>
          <w:pgMar w:top="960" w:right="0" w:bottom="500" w:left="740" w:header="360" w:footer="310" w:gutter="0"/>
          <w:pgNumType w:start="1"/>
          <w:cols w:space="720"/>
        </w:sectPr>
      </w:pPr>
      <w:r>
        <w:br w:type="page"/>
      </w:r>
    </w:p>
    <w:p w:rsidR="00674E8B" w:rsidRDefault="00674E8B">
      <w:pPr>
        <w:ind w:right="1112"/>
        <w:jc w:val="both"/>
        <w:rPr>
          <w:color w:val="000000"/>
          <w:sz w:val="20"/>
          <w:szCs w:val="20"/>
        </w:rPr>
      </w:pPr>
    </w:p>
    <w:p w:rsidR="00674E8B" w:rsidRDefault="00674E8B">
      <w:pPr>
        <w:spacing w:before="8"/>
        <w:ind w:right="1112"/>
        <w:jc w:val="both"/>
        <w:rPr>
          <w:color w:val="000000"/>
          <w:sz w:val="26"/>
          <w:szCs w:val="26"/>
        </w:rPr>
      </w:pPr>
    </w:p>
    <w:p w:rsidR="00674E8B" w:rsidRDefault="00674E8B">
      <w:pPr>
        <w:spacing w:before="100"/>
        <w:ind w:right="1112"/>
        <w:jc w:val="both"/>
        <w:rPr>
          <w:color w:val="000000"/>
          <w:sz w:val="26"/>
          <w:szCs w:val="26"/>
        </w:rPr>
      </w:pPr>
      <w:r>
        <w:rPr>
          <w:color w:val="000000"/>
          <w:sz w:val="26"/>
          <w:szCs w:val="26"/>
        </w:rPr>
        <w:t>орган, чрез който държавата обикновено изпълнява еднотипни дейности (не се взема предвид искане от посланика или всеки друг представител на държавата в Италия и в чужбина).</w:t>
      </w:r>
    </w:p>
    <w:p w:rsidR="00674E8B" w:rsidRDefault="00674E8B">
      <w:pPr>
        <w:spacing w:before="114"/>
        <w:ind w:right="1112"/>
        <w:jc w:val="both"/>
        <w:rPr>
          <w:color w:val="000000"/>
          <w:sz w:val="26"/>
          <w:szCs w:val="26"/>
        </w:rPr>
      </w:pPr>
      <w:r>
        <w:rPr>
          <w:color w:val="000000"/>
          <w:sz w:val="26"/>
          <w:szCs w:val="26"/>
        </w:rPr>
        <w:t xml:space="preserve">Правителственият орган определя </w:t>
      </w:r>
      <w:r>
        <w:rPr>
          <w:b/>
          <w:color w:val="000000"/>
          <w:sz w:val="26"/>
          <w:szCs w:val="26"/>
        </w:rPr>
        <w:t>Комисар</w:t>
      </w:r>
      <w:r>
        <w:rPr>
          <w:color w:val="000000"/>
          <w:sz w:val="26"/>
          <w:szCs w:val="26"/>
        </w:rPr>
        <w:t>, който принадлежи към правителствения орган или делегираната публична институция, представляваща държавата. Като представител и пряк посредник на правителствения орган на държавата на Комисаря не се разрешава да изпълнява такава роля за повече от една държава.</w:t>
      </w:r>
    </w:p>
    <w:p w:rsidR="00674E8B" w:rsidRDefault="00674E8B">
      <w:pPr>
        <w:spacing w:before="114"/>
        <w:ind w:right="1112"/>
        <w:jc w:val="both"/>
        <w:rPr>
          <w:color w:val="000000"/>
          <w:sz w:val="26"/>
          <w:szCs w:val="26"/>
        </w:rPr>
      </w:pPr>
      <w:r>
        <w:rPr>
          <w:color w:val="000000"/>
          <w:sz w:val="26"/>
          <w:szCs w:val="26"/>
        </w:rPr>
        <w:t>Комисарят извършва надзор над изложбения проект на националния участник и отговаря за изложението на павилиона на държавата със съгласието на Биенале и при спазване на културните и организационните стандарти на Изложението. Не</w:t>
      </w:r>
    </w:p>
    <w:p w:rsidR="00674E8B" w:rsidRDefault="00674E8B">
      <w:pPr>
        <w:ind w:right="1112"/>
        <w:jc w:val="both"/>
        <w:rPr>
          <w:color w:val="000000"/>
          <w:sz w:val="26"/>
          <w:szCs w:val="26"/>
        </w:rPr>
      </w:pPr>
      <w:r>
        <w:rPr>
          <w:color w:val="000000"/>
          <w:sz w:val="26"/>
          <w:szCs w:val="26"/>
        </w:rPr>
        <w:t xml:space="preserve">се допускат заместник-комисари или съ-комисари. Биенале трябва да бъде официално уведомено за определянето на комисар не по-късно от </w:t>
      </w:r>
      <w:r>
        <w:rPr>
          <w:b/>
          <w:color w:val="000000"/>
          <w:sz w:val="26"/>
          <w:szCs w:val="26"/>
        </w:rPr>
        <w:t>30 ноември 2018 г.</w:t>
      </w:r>
    </w:p>
    <w:p w:rsidR="00674E8B" w:rsidRDefault="00674E8B">
      <w:pPr>
        <w:spacing w:before="113"/>
        <w:ind w:right="1112"/>
        <w:jc w:val="both"/>
        <w:rPr>
          <w:color w:val="000000"/>
          <w:sz w:val="26"/>
          <w:szCs w:val="26"/>
        </w:rPr>
      </w:pPr>
      <w:r>
        <w:rPr>
          <w:color w:val="000000"/>
          <w:sz w:val="26"/>
          <w:szCs w:val="26"/>
        </w:rPr>
        <w:t xml:space="preserve">Правителственият орган определя Куратор, който съобщава на Биенале процедурите за номиниране.  Кураторът не може да изпълнява същата роля нито за други национални участници, нито в съвместни събития. Биенале трябва да бъде своевременно уведомено за определения куратор и при всички случаи </w:t>
      </w:r>
      <w:r>
        <w:rPr>
          <w:b/>
          <w:color w:val="000000"/>
          <w:sz w:val="26"/>
          <w:szCs w:val="26"/>
        </w:rPr>
        <w:t>преди официалното му публично обявяване</w:t>
      </w:r>
      <w:r>
        <w:rPr>
          <w:color w:val="000000"/>
          <w:sz w:val="26"/>
          <w:szCs w:val="26"/>
        </w:rPr>
        <w:t>.</w:t>
      </w:r>
    </w:p>
    <w:p w:rsidR="00674E8B" w:rsidRDefault="00674E8B">
      <w:pPr>
        <w:ind w:right="1112"/>
        <w:jc w:val="both"/>
        <w:rPr>
          <w:color w:val="000000"/>
          <w:sz w:val="30"/>
          <w:szCs w:val="30"/>
        </w:rPr>
      </w:pPr>
    </w:p>
    <w:p w:rsidR="00674E8B" w:rsidRDefault="00674E8B">
      <w:pPr>
        <w:pStyle w:val="Heading1"/>
        <w:spacing w:before="223"/>
        <w:ind w:left="0" w:right="1112"/>
        <w:jc w:val="both"/>
      </w:pPr>
      <w:r>
        <w:t>Член 5 — Подаване на изложбения проект</w:t>
      </w:r>
    </w:p>
    <w:p w:rsidR="00674E8B" w:rsidRDefault="00674E8B">
      <w:pPr>
        <w:spacing w:before="114"/>
        <w:ind w:right="1112"/>
        <w:jc w:val="both"/>
        <w:rPr>
          <w:color w:val="000000"/>
          <w:sz w:val="26"/>
          <w:szCs w:val="26"/>
        </w:rPr>
      </w:pPr>
      <w:r>
        <w:rPr>
          <w:color w:val="000000"/>
          <w:sz w:val="26"/>
          <w:szCs w:val="26"/>
        </w:rPr>
        <w:t xml:space="preserve">До </w:t>
      </w:r>
      <w:r>
        <w:rPr>
          <w:b/>
          <w:color w:val="000000"/>
          <w:sz w:val="26"/>
          <w:szCs w:val="26"/>
        </w:rPr>
        <w:t>1 февруари 2019 г.</w:t>
      </w:r>
      <w:r>
        <w:rPr>
          <w:color w:val="000000"/>
          <w:sz w:val="26"/>
          <w:szCs w:val="26"/>
        </w:rPr>
        <w:t xml:space="preserve"> участващата държава представя текст, с който се обяснява кураторската концепция на националния участник, както и подробния изложбен проект (списък с участници, списък с произведения на изкуството, дизайн на инсталацията) на отдела за визуални изкуства на Биенале с цел информиране и проверка.</w:t>
      </w:r>
    </w:p>
    <w:p w:rsidR="00674E8B" w:rsidRDefault="00674E8B">
      <w:pPr>
        <w:spacing w:before="114"/>
        <w:ind w:right="1112"/>
        <w:jc w:val="both"/>
        <w:rPr>
          <w:color w:val="000000"/>
          <w:sz w:val="26"/>
          <w:szCs w:val="26"/>
        </w:rPr>
      </w:pPr>
      <w:r>
        <w:rPr>
          <w:color w:val="000000"/>
          <w:sz w:val="26"/>
          <w:szCs w:val="26"/>
        </w:rPr>
        <w:t>От контекстуална гледна точка, за инсталиране на изложенията в посочените сгради е задължително държавите да подадат вътрешния изложбен проект на Soprintendenza Archeologia, Belle Arti e Paesaggio per il Comune di Venezia e Laguna, за да получат разрешение.</w:t>
      </w:r>
    </w:p>
    <w:p w:rsidR="00674E8B" w:rsidRDefault="00674E8B">
      <w:pPr>
        <w:spacing w:before="114"/>
        <w:ind w:right="1112"/>
        <w:jc w:val="both"/>
        <w:rPr>
          <w:color w:val="000000"/>
          <w:sz w:val="26"/>
          <w:szCs w:val="26"/>
        </w:rPr>
      </w:pPr>
      <w:r>
        <w:rPr>
          <w:color w:val="000000"/>
          <w:sz w:val="26"/>
          <w:szCs w:val="26"/>
        </w:rPr>
        <w:t>Държавите с павилиони в зоната на Джардини ди Кастело може да организират своите художествени проекти в рамките на пространството на своите павилиони.  Общите пространства на открито в Джардини не са достъпни за участващите държави, освен ако не се намират в зоната</w:t>
      </w:r>
    </w:p>
    <w:p w:rsidR="00674E8B" w:rsidRDefault="00674E8B">
      <w:pPr>
        <w:ind w:right="1112"/>
        <w:jc w:val="both"/>
        <w:rPr>
          <w:color w:val="000000"/>
          <w:sz w:val="26"/>
          <w:szCs w:val="26"/>
        </w:rPr>
      </w:pPr>
      <w:r>
        <w:rPr>
          <w:color w:val="000000"/>
          <w:sz w:val="26"/>
          <w:szCs w:val="26"/>
        </w:rPr>
        <w:t xml:space="preserve">в непосредствена близост до техния павилион, за което е получено специалното разрешение от Биенале след представяне на отдела за визуални изкуства на Венецианското биенале от Комисаря на подробен проект не по-късно от </w:t>
      </w:r>
      <w:r>
        <w:rPr>
          <w:b/>
          <w:color w:val="000000"/>
          <w:sz w:val="26"/>
          <w:szCs w:val="26"/>
        </w:rPr>
        <w:t>15 февруари 2019 г.</w:t>
      </w:r>
      <w:r>
        <w:rPr>
          <w:color w:val="000000"/>
          <w:sz w:val="26"/>
          <w:szCs w:val="26"/>
        </w:rPr>
        <w:t xml:space="preserve"> с цел оценка на осъществимостта на самия проект и последващото му представяне на местните органи за получаване на необходимите разрешения.  Такова разрешение включва също и звукови или светлинни инсталации както в пространствата на закрито, така и на открито, които инсталации може да нарушат околния градски контекст.</w:t>
      </w:r>
    </w:p>
    <w:p w:rsidR="00674E8B" w:rsidRDefault="00674E8B">
      <w:pPr>
        <w:ind w:right="1112"/>
        <w:jc w:val="both"/>
        <w:rPr>
          <w:sz w:val="26"/>
          <w:szCs w:val="26"/>
        </w:rPr>
      </w:pPr>
    </w:p>
    <w:p w:rsidR="00674E8B" w:rsidRDefault="00674E8B">
      <w:pPr>
        <w:spacing w:line="276" w:lineRule="auto"/>
        <w:ind w:right="1112"/>
        <w:jc w:val="both"/>
        <w:rPr>
          <w:sz w:val="26"/>
          <w:szCs w:val="26"/>
        </w:rPr>
        <w:sectPr w:rsidR="00674E8B">
          <w:type w:val="continuous"/>
          <w:pgSz w:w="11910" w:h="16840"/>
          <w:pgMar w:top="960" w:right="0" w:bottom="500" w:left="740" w:header="360" w:footer="310" w:gutter="0"/>
          <w:cols w:space="720"/>
          <w:rtlGutter/>
        </w:sectPr>
      </w:pPr>
      <w:r>
        <w:br w:type="page"/>
      </w:r>
    </w:p>
    <w:p w:rsidR="00674E8B" w:rsidRDefault="00674E8B">
      <w:pPr>
        <w:ind w:right="1112"/>
        <w:jc w:val="both"/>
        <w:rPr>
          <w:color w:val="000000"/>
          <w:sz w:val="20"/>
          <w:szCs w:val="20"/>
        </w:rPr>
      </w:pPr>
    </w:p>
    <w:p w:rsidR="00674E8B" w:rsidRDefault="00674E8B">
      <w:pPr>
        <w:spacing w:before="8"/>
        <w:ind w:right="1112"/>
        <w:jc w:val="both"/>
        <w:rPr>
          <w:color w:val="000000"/>
          <w:sz w:val="26"/>
          <w:szCs w:val="26"/>
        </w:rPr>
      </w:pPr>
    </w:p>
    <w:p w:rsidR="00674E8B" w:rsidRDefault="00674E8B">
      <w:pPr>
        <w:spacing w:before="100"/>
        <w:ind w:right="1112"/>
        <w:jc w:val="both"/>
        <w:rPr>
          <w:color w:val="000000"/>
          <w:sz w:val="26"/>
          <w:szCs w:val="26"/>
        </w:rPr>
      </w:pPr>
      <w:r>
        <w:rPr>
          <w:color w:val="000000"/>
          <w:sz w:val="26"/>
          <w:szCs w:val="26"/>
        </w:rPr>
        <w:t>В случай че има проекти, които включват разполагане на произведения на обществени открити пространства във Венеция (включително водни пространства, както и звукови или светлинни инсталации), които може да нарушат околния градски контекст, участващата държава има задължението и отговорността</w:t>
      </w:r>
      <w:r>
        <w:rPr>
          <w:sz w:val="26"/>
          <w:szCs w:val="26"/>
        </w:rPr>
        <w:t xml:space="preserve"> да подаде на отдела за визуални изкуства на Биенале не по-късно от</w:t>
      </w:r>
      <w:r>
        <w:t xml:space="preserve"> </w:t>
      </w:r>
      <w:r>
        <w:rPr>
          <w:b/>
          <w:sz w:val="26"/>
          <w:szCs w:val="26"/>
        </w:rPr>
        <w:t xml:space="preserve">15 февруари 2019 г. </w:t>
      </w:r>
      <w:r>
        <w:rPr>
          <w:color w:val="000000"/>
          <w:sz w:val="26"/>
          <w:szCs w:val="26"/>
        </w:rPr>
        <w:t>необходимата подробна техническа документация, изисквана от местните органи (община, надзорен орган по архитектурното наследство, други отговорни служби) с цел оценяване на осъществимостта на самия проект и издаване на необходимите разрешения.</w:t>
      </w:r>
    </w:p>
    <w:p w:rsidR="00674E8B" w:rsidRDefault="00674E8B">
      <w:pPr>
        <w:spacing w:before="114"/>
        <w:ind w:right="1112"/>
        <w:jc w:val="both"/>
        <w:rPr>
          <w:color w:val="000000"/>
          <w:sz w:val="26"/>
          <w:szCs w:val="26"/>
        </w:rPr>
      </w:pPr>
      <w:r>
        <w:rPr>
          <w:color w:val="000000"/>
          <w:sz w:val="26"/>
          <w:szCs w:val="26"/>
        </w:rPr>
        <w:t>Впоследствие Биенале ще се погрижи да подаде въпросната документация на компетентните местни органи с цел завършване на процеса по одобряване в определените срокове.</w:t>
      </w:r>
    </w:p>
    <w:p w:rsidR="00674E8B" w:rsidRDefault="00674E8B">
      <w:pPr>
        <w:pStyle w:val="Heading1"/>
        <w:ind w:left="0" w:right="1112"/>
        <w:jc w:val="both"/>
      </w:pPr>
      <w:r>
        <w:t>Такива разрешения важат само до края на изложението. Следователно всяка инсталация на публични пространства ще трябва своевременно да се разглоби и премахне непосредствено след датата на закриване.</w:t>
      </w:r>
    </w:p>
    <w:p w:rsidR="00674E8B" w:rsidRDefault="00674E8B">
      <w:pPr>
        <w:spacing w:before="114"/>
        <w:ind w:right="1112"/>
        <w:jc w:val="both"/>
        <w:rPr>
          <w:color w:val="000000"/>
          <w:sz w:val="26"/>
          <w:szCs w:val="26"/>
        </w:rPr>
      </w:pPr>
      <w:r>
        <w:rPr>
          <w:color w:val="000000"/>
          <w:sz w:val="26"/>
          <w:szCs w:val="26"/>
        </w:rPr>
        <w:t>Ако художественото предложение на държавата включва два различни проекта, разположени на две пространства (едното от които трябва да бъде официалният павилион), предложението се приема само ако проектът извън павилиона представлява по-малката част от целия проект и ако е разположен на територията на публична културна институция, която принадлежи на самата държава.</w:t>
      </w:r>
    </w:p>
    <w:p w:rsidR="00674E8B" w:rsidRDefault="00674E8B">
      <w:pPr>
        <w:spacing w:before="114"/>
        <w:ind w:right="1112"/>
        <w:jc w:val="both"/>
        <w:rPr>
          <w:color w:val="000000"/>
          <w:sz w:val="26"/>
          <w:szCs w:val="26"/>
        </w:rPr>
      </w:pPr>
      <w:r>
        <w:rPr>
          <w:color w:val="000000"/>
          <w:sz w:val="26"/>
          <w:szCs w:val="26"/>
        </w:rPr>
        <w:t>Участващата държава трябва да извърши самостоятелно всички процедури, за да получи всички допълнителни необходими разрешения от отговорните местни органи.</w:t>
      </w:r>
    </w:p>
    <w:p w:rsidR="00674E8B" w:rsidRDefault="00674E8B">
      <w:pPr>
        <w:spacing w:before="114"/>
        <w:ind w:right="1112"/>
        <w:jc w:val="both"/>
        <w:rPr>
          <w:color w:val="000000"/>
          <w:sz w:val="26"/>
          <w:szCs w:val="26"/>
        </w:rPr>
      </w:pPr>
      <w:r>
        <w:rPr>
          <w:color w:val="000000"/>
          <w:sz w:val="26"/>
          <w:szCs w:val="26"/>
        </w:rPr>
        <w:t>Като цяло участващата държава поема всички разходи по инсталиране на своето изложение, включително разходите за транспорт, митнически процедури, съхранение на щайги и материали, надзор и охрана, сигурност на местата на изложението, почистване, застраховка, събиране и изхвърляне на отпадъци и всякакви допълнителни разходи, които може да са необходими за правилната реализация на изложението.</w:t>
      </w:r>
    </w:p>
    <w:p w:rsidR="00674E8B" w:rsidRDefault="00674E8B">
      <w:pPr>
        <w:pStyle w:val="Heading1"/>
        <w:ind w:left="0" w:right="1112"/>
        <w:jc w:val="both"/>
      </w:pPr>
      <w:r>
        <w:t>Участващата държава ще гарантира, че всички информационни текстове в рамките на графичния проект за изложението ще бъдат изготвени на два езика – италиански и английски.</w:t>
      </w:r>
    </w:p>
    <w:p w:rsidR="00674E8B" w:rsidRDefault="00674E8B">
      <w:pPr>
        <w:spacing w:before="114"/>
        <w:ind w:right="1112"/>
        <w:jc w:val="both"/>
        <w:rPr>
          <w:color w:val="000000"/>
          <w:sz w:val="26"/>
          <w:szCs w:val="26"/>
        </w:rPr>
      </w:pPr>
      <w:r>
        <w:rPr>
          <w:color w:val="000000"/>
          <w:sz w:val="26"/>
          <w:szCs w:val="26"/>
        </w:rPr>
        <w:t xml:space="preserve">Националните участници трябва спазват срока на международното изложение (до </w:t>
      </w:r>
      <w:r>
        <w:rPr>
          <w:b/>
          <w:color w:val="000000"/>
          <w:sz w:val="26"/>
          <w:szCs w:val="26"/>
        </w:rPr>
        <w:t>24 ноември 2019 г.</w:t>
      </w:r>
      <w:r>
        <w:rPr>
          <w:color w:val="000000"/>
          <w:sz w:val="26"/>
          <w:szCs w:val="26"/>
        </w:rPr>
        <w:t>). Изключителни случаи ще се разглеждат предварително от Биенале.</w:t>
      </w:r>
    </w:p>
    <w:p w:rsidR="00674E8B" w:rsidRDefault="00674E8B">
      <w:pPr>
        <w:spacing w:before="114"/>
        <w:ind w:right="1112"/>
        <w:jc w:val="both"/>
        <w:rPr>
          <w:color w:val="000000"/>
          <w:sz w:val="26"/>
          <w:szCs w:val="26"/>
        </w:rPr>
      </w:pPr>
      <w:r>
        <w:rPr>
          <w:color w:val="000000"/>
          <w:sz w:val="26"/>
          <w:szCs w:val="26"/>
        </w:rPr>
        <w:t>В случай на възможни технически проблеми, които е възможно да възникнат по време на периода за посещение и да наложат временно затваряне на павилиона, държавата незабавно трябва да уведоми</w:t>
      </w:r>
    </w:p>
    <w:p w:rsidR="00674E8B" w:rsidRDefault="00674E8B">
      <w:pPr>
        <w:spacing w:before="1"/>
        <w:ind w:right="1112"/>
        <w:jc w:val="both"/>
        <w:rPr>
          <w:color w:val="000000"/>
          <w:sz w:val="26"/>
          <w:szCs w:val="26"/>
        </w:rPr>
      </w:pPr>
      <w:r>
        <w:rPr>
          <w:color w:val="000000"/>
          <w:sz w:val="26"/>
          <w:szCs w:val="26"/>
        </w:rPr>
        <w:t>Биенале и своевременно да се намеси, за да не възпрепятства достъпа на посетителите повече необходимото за отстраняване на проблема.</w:t>
      </w:r>
    </w:p>
    <w:p w:rsidR="00674E8B" w:rsidRDefault="00674E8B">
      <w:pPr>
        <w:ind w:right="1112"/>
        <w:jc w:val="both"/>
        <w:rPr>
          <w:color w:val="000000"/>
          <w:sz w:val="20"/>
          <w:szCs w:val="20"/>
        </w:rPr>
      </w:pPr>
    </w:p>
    <w:p w:rsidR="00674E8B" w:rsidRDefault="00674E8B">
      <w:pPr>
        <w:spacing w:before="4"/>
        <w:ind w:right="1112"/>
        <w:jc w:val="both"/>
        <w:rPr>
          <w:color w:val="000000"/>
          <w:sz w:val="26"/>
          <w:szCs w:val="26"/>
        </w:rPr>
      </w:pPr>
    </w:p>
    <w:p w:rsidR="00674E8B" w:rsidRDefault="00674E8B">
      <w:pPr>
        <w:pStyle w:val="Heading1"/>
        <w:spacing w:before="93"/>
        <w:ind w:left="0" w:right="1112"/>
        <w:jc w:val="both"/>
      </w:pPr>
      <w:r>
        <w:t>Член 6 – Популяризиране и публичност</w:t>
      </w:r>
    </w:p>
    <w:p w:rsidR="00674E8B" w:rsidRDefault="00674E8B">
      <w:pPr>
        <w:spacing w:before="113"/>
        <w:ind w:right="1112"/>
        <w:jc w:val="both"/>
        <w:rPr>
          <w:color w:val="000000"/>
          <w:sz w:val="26"/>
          <w:szCs w:val="26"/>
        </w:rPr>
      </w:pPr>
      <w:r>
        <w:rPr>
          <w:color w:val="000000"/>
          <w:sz w:val="26"/>
          <w:szCs w:val="26"/>
        </w:rPr>
        <w:t>Биенале ще популяризира и рекламира националните участия в своите институционални инструменти за комуникация, както следва:</w:t>
      </w:r>
    </w:p>
    <w:p w:rsidR="00674E8B" w:rsidRDefault="00674E8B">
      <w:pPr>
        <w:numPr>
          <w:ilvl w:val="0"/>
          <w:numId w:val="1"/>
        </w:numPr>
        <w:tabs>
          <w:tab w:val="left" w:pos="471"/>
        </w:tabs>
        <w:spacing w:before="113"/>
        <w:ind w:left="0" w:right="1112" w:firstLine="0"/>
        <w:jc w:val="both"/>
        <w:rPr>
          <w:color w:val="000000"/>
        </w:rPr>
      </w:pPr>
      <w:r>
        <w:rPr>
          <w:b/>
          <w:color w:val="000000"/>
          <w:sz w:val="26"/>
          <w:szCs w:val="26"/>
        </w:rPr>
        <w:t>материали, предоставени на италианската и международната преса</w:t>
      </w:r>
      <w:r>
        <w:rPr>
          <w:color w:val="000000"/>
          <w:sz w:val="26"/>
          <w:szCs w:val="26"/>
        </w:rPr>
        <w:t xml:space="preserve"> при спазване на условията и сроковете, предвидени от Биенале в неговия комуникационен план за Изложението;</w:t>
      </w:r>
    </w:p>
    <w:p w:rsidR="00674E8B" w:rsidRDefault="00674E8B">
      <w:pPr>
        <w:numPr>
          <w:ilvl w:val="0"/>
          <w:numId w:val="1"/>
        </w:numPr>
        <w:tabs>
          <w:tab w:val="left" w:pos="471"/>
        </w:tabs>
        <w:spacing w:before="113"/>
        <w:ind w:left="0" w:right="1112" w:firstLine="0"/>
        <w:jc w:val="both"/>
        <w:rPr>
          <w:color w:val="000000"/>
        </w:rPr>
      </w:pPr>
      <w:r>
        <w:rPr>
          <w:b/>
          <w:color w:val="000000"/>
          <w:sz w:val="26"/>
          <w:szCs w:val="26"/>
        </w:rPr>
        <w:t xml:space="preserve">официален каталог </w:t>
      </w:r>
      <w:r>
        <w:rPr>
          <w:color w:val="000000"/>
          <w:sz w:val="26"/>
          <w:szCs w:val="26"/>
        </w:rPr>
        <w:t>на 58-ото Международно изложение на изкуствата, в който ще има раздел, посветен на националните участници, с фиксиран брой страници, включващи текстове и изображения за всеки национален участник, предвидени в общия редакторски план на каталога на Изложението;</w:t>
      </w:r>
    </w:p>
    <w:p w:rsidR="00674E8B" w:rsidRDefault="00674E8B">
      <w:pPr>
        <w:numPr>
          <w:ilvl w:val="0"/>
          <w:numId w:val="1"/>
        </w:numPr>
        <w:tabs>
          <w:tab w:val="left" w:pos="471"/>
        </w:tabs>
        <w:spacing w:before="113"/>
        <w:ind w:left="0" w:right="1112" w:firstLine="0"/>
        <w:jc w:val="both"/>
        <w:rPr>
          <w:color w:val="000000"/>
        </w:rPr>
      </w:pPr>
      <w:r>
        <w:rPr>
          <w:b/>
          <w:color w:val="000000"/>
          <w:sz w:val="26"/>
          <w:szCs w:val="26"/>
        </w:rPr>
        <w:t xml:space="preserve">рекламни публикации </w:t>
      </w:r>
      <w:r>
        <w:rPr>
          <w:color w:val="000000"/>
          <w:sz w:val="26"/>
          <w:szCs w:val="26"/>
        </w:rPr>
        <w:t>на 58-ото Международно изложение на изкуствата, които ще съдържат обща информация за всеки национален участник, предвидена в общия редакторски план за Изложението;</w:t>
      </w:r>
    </w:p>
    <w:p w:rsidR="00674E8B" w:rsidRDefault="00674E8B">
      <w:pPr>
        <w:numPr>
          <w:ilvl w:val="0"/>
          <w:numId w:val="1"/>
        </w:numPr>
        <w:tabs>
          <w:tab w:val="left" w:pos="471"/>
        </w:tabs>
        <w:spacing w:before="107"/>
        <w:ind w:left="0" w:right="1112" w:firstLine="0"/>
        <w:jc w:val="both"/>
        <w:rPr>
          <w:color w:val="000000"/>
        </w:rPr>
      </w:pPr>
      <w:r>
        <w:rPr>
          <w:b/>
          <w:color w:val="000000"/>
          <w:sz w:val="26"/>
          <w:szCs w:val="26"/>
        </w:rPr>
        <w:t xml:space="preserve">уебсайт </w:t>
      </w:r>
      <w:r>
        <w:rPr>
          <w:color w:val="000000"/>
          <w:sz w:val="26"/>
          <w:szCs w:val="26"/>
        </w:rPr>
        <w:t>на Биеналето;</w:t>
      </w:r>
    </w:p>
    <w:p w:rsidR="00674E8B" w:rsidRDefault="00674E8B">
      <w:pPr>
        <w:numPr>
          <w:ilvl w:val="0"/>
          <w:numId w:val="1"/>
        </w:numPr>
        <w:tabs>
          <w:tab w:val="left" w:pos="471"/>
        </w:tabs>
        <w:spacing w:before="114"/>
        <w:ind w:left="0" w:right="1112" w:firstLine="0"/>
        <w:jc w:val="both"/>
        <w:rPr>
          <w:color w:val="000000"/>
        </w:rPr>
      </w:pPr>
      <w:r>
        <w:rPr>
          <w:b/>
          <w:color w:val="000000"/>
          <w:sz w:val="26"/>
          <w:szCs w:val="26"/>
        </w:rPr>
        <w:t xml:space="preserve">информационна карта на Венеция, </w:t>
      </w:r>
      <w:r>
        <w:rPr>
          <w:color w:val="000000"/>
          <w:sz w:val="26"/>
          <w:szCs w:val="26"/>
        </w:rPr>
        <w:t>която ще бъде поставена на местата за изложения в Джардини и Арсенале, и в нея ще са набелязани местоположенията на всички национални участници.</w:t>
      </w:r>
    </w:p>
    <w:p w:rsidR="00674E8B" w:rsidRDefault="00674E8B">
      <w:pPr>
        <w:spacing w:before="114"/>
        <w:ind w:right="1112"/>
        <w:jc w:val="both"/>
        <w:rPr>
          <w:color w:val="000000"/>
          <w:sz w:val="26"/>
          <w:szCs w:val="26"/>
        </w:rPr>
      </w:pPr>
      <w:r>
        <w:rPr>
          <w:color w:val="000000"/>
          <w:sz w:val="26"/>
          <w:szCs w:val="26"/>
        </w:rPr>
        <w:t>Освен това по време на предварителния преглед на Изложението Биенале ще осигури допълнителна видимост на националните участници в специално информационно пространство за кратък видеоклип за националните участници, който ще включва кадри от град Венеция. Ще се разпространяват и печатни материали, ако са предоставени от участващата държава.</w:t>
      </w:r>
    </w:p>
    <w:p w:rsidR="00674E8B" w:rsidRDefault="00674E8B">
      <w:pPr>
        <w:spacing w:before="114"/>
        <w:ind w:right="1112"/>
        <w:jc w:val="both"/>
        <w:rPr>
          <w:color w:val="000000"/>
          <w:sz w:val="26"/>
          <w:szCs w:val="26"/>
        </w:rPr>
      </w:pPr>
      <w:r>
        <w:rPr>
          <w:color w:val="000000"/>
          <w:sz w:val="26"/>
          <w:szCs w:val="26"/>
        </w:rPr>
        <w:t>За включването на националните участници в общия план за комуникация на Изложението Комисарят трябва да изпрати следните</w:t>
      </w:r>
      <w:r>
        <w:rPr>
          <w:b/>
          <w:color w:val="000000"/>
          <w:sz w:val="26"/>
          <w:szCs w:val="26"/>
        </w:rPr>
        <w:t xml:space="preserve"> материали и информация за прессъобщение</w:t>
      </w:r>
      <w:r>
        <w:rPr>
          <w:color w:val="000000"/>
          <w:sz w:val="26"/>
          <w:szCs w:val="26"/>
        </w:rPr>
        <w:t xml:space="preserve"> на пресслужбата и на отдела за визуални изкуства на Биенале:</w:t>
      </w:r>
    </w:p>
    <w:p w:rsidR="00674E8B" w:rsidRDefault="00674E8B">
      <w:pPr>
        <w:numPr>
          <w:ilvl w:val="0"/>
          <w:numId w:val="1"/>
        </w:numPr>
        <w:tabs>
          <w:tab w:val="left" w:pos="471"/>
        </w:tabs>
        <w:spacing w:before="114"/>
        <w:ind w:left="0" w:right="1112" w:firstLine="0"/>
        <w:jc w:val="both"/>
        <w:rPr>
          <w:color w:val="000000"/>
        </w:rPr>
      </w:pPr>
      <w:r>
        <w:rPr>
          <w:color w:val="000000"/>
          <w:sz w:val="26"/>
          <w:szCs w:val="26"/>
        </w:rPr>
        <w:t>специални изображения на излаганите творби, които отговарят на необходимите международни стандарти за пресата, включително изчерпателни надписи и посочване на името на фотографа, както е предвидено от пресслужбата на Биенале;</w:t>
      </w:r>
    </w:p>
    <w:p w:rsidR="00674E8B" w:rsidRDefault="00674E8B">
      <w:pPr>
        <w:numPr>
          <w:ilvl w:val="0"/>
          <w:numId w:val="1"/>
        </w:numPr>
        <w:tabs>
          <w:tab w:val="left" w:pos="471"/>
        </w:tabs>
        <w:spacing w:before="114"/>
        <w:ind w:left="0" w:right="1112" w:firstLine="0"/>
        <w:jc w:val="both"/>
        <w:rPr>
          <w:color w:val="000000"/>
        </w:rPr>
      </w:pPr>
      <w:r>
        <w:rPr>
          <w:color w:val="000000"/>
          <w:sz w:val="26"/>
          <w:szCs w:val="26"/>
        </w:rPr>
        <w:t>писмено описание и обяснение на изложбения проект с цел популяризиране и рекламиране на събитието;</w:t>
      </w:r>
    </w:p>
    <w:p w:rsidR="00674E8B" w:rsidRDefault="00674E8B">
      <w:pPr>
        <w:numPr>
          <w:ilvl w:val="0"/>
          <w:numId w:val="1"/>
        </w:numPr>
        <w:tabs>
          <w:tab w:val="left" w:pos="471"/>
        </w:tabs>
        <w:spacing w:before="114"/>
        <w:ind w:left="0" w:right="1112" w:firstLine="0"/>
        <w:jc w:val="both"/>
        <w:rPr>
          <w:color w:val="000000"/>
        </w:rPr>
      </w:pPr>
      <w:r>
        <w:rPr>
          <w:color w:val="000000"/>
          <w:sz w:val="26"/>
          <w:szCs w:val="26"/>
        </w:rPr>
        <w:t>рекламни материали, които да бъдат разпространени сред италианската и международната преса по време на предварителния преглед на Изложението и на пресконференции (не подлежат на връщане).</w:t>
      </w:r>
    </w:p>
    <w:p w:rsidR="00674E8B" w:rsidRDefault="00674E8B">
      <w:pPr>
        <w:spacing w:before="114"/>
        <w:ind w:right="1112"/>
        <w:jc w:val="both"/>
        <w:rPr>
          <w:color w:val="000000"/>
          <w:sz w:val="25"/>
          <w:szCs w:val="25"/>
        </w:rPr>
      </w:pPr>
      <w:r>
        <w:rPr>
          <w:color w:val="000000"/>
          <w:sz w:val="26"/>
          <w:szCs w:val="26"/>
        </w:rPr>
        <w:t xml:space="preserve">Тези материали ще трябва да бъдат представени за одобрение на пресслужбата преди публикуването им в пресата в срок до </w:t>
      </w:r>
      <w:r>
        <w:rPr>
          <w:b/>
          <w:color w:val="000000"/>
          <w:sz w:val="26"/>
          <w:szCs w:val="26"/>
        </w:rPr>
        <w:t>11 март 2019 г.</w:t>
      </w:r>
    </w:p>
    <w:p w:rsidR="00674E8B" w:rsidRDefault="00674E8B">
      <w:pPr>
        <w:spacing w:before="99"/>
        <w:ind w:right="1112"/>
        <w:jc w:val="both"/>
        <w:rPr>
          <w:color w:val="000000"/>
          <w:sz w:val="26"/>
          <w:szCs w:val="26"/>
        </w:rPr>
      </w:pPr>
      <w:r>
        <w:rPr>
          <w:color w:val="000000"/>
          <w:sz w:val="26"/>
          <w:szCs w:val="26"/>
        </w:rPr>
        <w:t>Участващата държава уведомява също контактите на пресслужбата, отговарящи за нейния официален план за комуникация, който трябва да е предварително представен на пресслужбата на Бинеале.</w:t>
      </w:r>
    </w:p>
    <w:p w:rsidR="00674E8B" w:rsidRDefault="00674E8B">
      <w:pPr>
        <w:spacing w:before="114"/>
        <w:ind w:right="1112"/>
        <w:jc w:val="both"/>
        <w:rPr>
          <w:color w:val="000000"/>
          <w:sz w:val="26"/>
          <w:szCs w:val="26"/>
        </w:rPr>
      </w:pPr>
      <w:r>
        <w:rPr>
          <w:color w:val="000000"/>
          <w:sz w:val="26"/>
          <w:szCs w:val="26"/>
        </w:rPr>
        <w:t xml:space="preserve">За включването на национален участник в каталога на изложението и в останалите разпространявани публикации (кратък гид, брошура и др.) Комисарят ще получи специални информационни формуляри от Биенале, които трябва да бъдат подписани от всеки изложител или от негов/неин представител под отговорността на самия Комисар. Следният материал и информация за публикацията трябва да се подадат на отдела за визуални изкуства на Биенале, където трябва да бъдат получени не по-късно от </w:t>
      </w:r>
      <w:r>
        <w:rPr>
          <w:b/>
          <w:color w:val="000000"/>
          <w:sz w:val="26"/>
          <w:szCs w:val="26"/>
        </w:rPr>
        <w:t>31 януари 2019 г.</w:t>
      </w:r>
      <w:r>
        <w:rPr>
          <w:color w:val="000000"/>
          <w:sz w:val="26"/>
          <w:szCs w:val="26"/>
        </w:rPr>
        <w:t xml:space="preserve"> Това са:</w:t>
      </w:r>
    </w:p>
    <w:p w:rsidR="00674E8B" w:rsidRDefault="00674E8B">
      <w:pPr>
        <w:numPr>
          <w:ilvl w:val="0"/>
          <w:numId w:val="1"/>
        </w:numPr>
        <w:tabs>
          <w:tab w:val="left" w:pos="471"/>
        </w:tabs>
        <w:spacing w:before="108"/>
        <w:ind w:left="0" w:right="1112" w:firstLine="0"/>
        <w:jc w:val="both"/>
        <w:rPr>
          <w:color w:val="000000"/>
        </w:rPr>
      </w:pPr>
      <w:r>
        <w:rPr>
          <w:color w:val="000000"/>
          <w:sz w:val="26"/>
          <w:szCs w:val="26"/>
        </w:rPr>
        <w:t>заглавие и място на изложението на националния участник;</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имена и квалификации на куратора/ите и изложителите;</w:t>
      </w:r>
    </w:p>
    <w:p w:rsidR="00674E8B" w:rsidRDefault="00674E8B">
      <w:pPr>
        <w:numPr>
          <w:ilvl w:val="0"/>
          <w:numId w:val="1"/>
        </w:numPr>
        <w:tabs>
          <w:tab w:val="left" w:pos="471"/>
        </w:tabs>
        <w:spacing w:before="113"/>
        <w:ind w:left="0" w:right="1112" w:firstLine="0"/>
        <w:jc w:val="both"/>
        <w:rPr>
          <w:color w:val="000000"/>
        </w:rPr>
      </w:pPr>
      <w:r>
        <w:rPr>
          <w:color w:val="000000"/>
          <w:sz w:val="26"/>
          <w:szCs w:val="26"/>
        </w:rPr>
        <w:t>текст с описание на изложбения проект; подробни информационни текстове ще бъдат включени в каталога</w:t>
      </w:r>
    </w:p>
    <w:p w:rsidR="00674E8B" w:rsidRDefault="00674E8B">
      <w:pPr>
        <w:numPr>
          <w:ilvl w:val="0"/>
          <w:numId w:val="1"/>
        </w:numPr>
        <w:tabs>
          <w:tab w:val="left" w:pos="471"/>
        </w:tabs>
        <w:spacing w:before="113"/>
        <w:ind w:left="0" w:right="1112" w:firstLine="0"/>
        <w:jc w:val="both"/>
        <w:rPr>
          <w:color w:val="000000"/>
        </w:rPr>
      </w:pPr>
      <w:r>
        <w:rPr>
          <w:color w:val="000000"/>
          <w:sz w:val="26"/>
          <w:szCs w:val="26"/>
        </w:rPr>
        <w:t>брой на специалните изображения на изложените произведения, които отговарят на стандартите за публикуване (минимален формат 21x29, 300 dpi, файл tipff/jpg), включително изчерпателни надписи и посочване на името на фотографа, както са посочени в каталога, който ще бъде изпратен.</w:t>
      </w:r>
    </w:p>
    <w:p w:rsidR="00674E8B" w:rsidRDefault="00674E8B">
      <w:pPr>
        <w:spacing w:before="113"/>
        <w:ind w:right="1112"/>
        <w:jc w:val="both"/>
        <w:rPr>
          <w:color w:val="000000"/>
          <w:sz w:val="26"/>
          <w:szCs w:val="26"/>
        </w:rPr>
      </w:pPr>
      <w:r>
        <w:rPr>
          <w:color w:val="000000"/>
          <w:sz w:val="26"/>
          <w:szCs w:val="26"/>
        </w:rPr>
        <w:t>Като цяло организаторите трябва да получат разрешение за ползване на авторски права с цел безплатното и неограничено използване на всички предоставени изображения и текстове; по този начин Биенале може да използва тези изображения и текстове за всякакви цели и във всички медии, за които се счита, че са от полза за целите на комуникацията и рекламата, включително услуги в интернет. За тази цел Биенале ще изпрати</w:t>
      </w:r>
    </w:p>
    <w:p w:rsidR="00674E8B" w:rsidRDefault="00674E8B">
      <w:pPr>
        <w:ind w:right="1112"/>
        <w:jc w:val="both"/>
        <w:rPr>
          <w:color w:val="000000"/>
          <w:sz w:val="26"/>
          <w:szCs w:val="26"/>
        </w:rPr>
      </w:pPr>
      <w:r>
        <w:rPr>
          <w:color w:val="000000"/>
          <w:sz w:val="26"/>
          <w:szCs w:val="26"/>
        </w:rPr>
        <w:t>формуляр на авторско право, който да бъде върнат заедно с предоставените материали. Този формуляр на авторско право, с който се предоставя право на ползване, трябва да бъде подписан от собственика на правата над произведението и/или проекта (самият архитект или неговите наследници).</w:t>
      </w:r>
    </w:p>
    <w:p w:rsidR="00674E8B" w:rsidRDefault="00674E8B">
      <w:pPr>
        <w:spacing w:before="114"/>
        <w:ind w:right="1112"/>
        <w:jc w:val="both"/>
        <w:rPr>
          <w:color w:val="000000"/>
          <w:sz w:val="26"/>
          <w:szCs w:val="26"/>
        </w:rPr>
      </w:pPr>
      <w:r>
        <w:rPr>
          <w:color w:val="000000"/>
          <w:sz w:val="26"/>
          <w:szCs w:val="26"/>
        </w:rPr>
        <w:t>Биенале не може да бъде държано под отговорност за неточни или неизчерпателни данни и информация относно произведенията и авторите във връзка с разпечатаните, публикуваните и/или разпространените от Биенале материали в случаите, когато необходимата документация се окаже неизчерпателна, нечетлива или е получена след изтичане на предвидените срокове. Не се допуска</w:t>
      </w:r>
    </w:p>
    <w:p w:rsidR="00674E8B" w:rsidRDefault="00674E8B">
      <w:pPr>
        <w:spacing w:before="1"/>
        <w:ind w:right="1112"/>
        <w:jc w:val="both"/>
        <w:rPr>
          <w:color w:val="000000"/>
          <w:sz w:val="26"/>
          <w:szCs w:val="26"/>
        </w:rPr>
      </w:pPr>
      <w:r>
        <w:rPr>
          <w:color w:val="000000"/>
          <w:sz w:val="26"/>
          <w:szCs w:val="26"/>
        </w:rPr>
        <w:t xml:space="preserve">промяна на мястото или датите на провеждане за националните участници, ако такава бъде заявена след предвидения за това срок до </w:t>
      </w:r>
      <w:r>
        <w:rPr>
          <w:b/>
          <w:color w:val="000000"/>
          <w:sz w:val="26"/>
          <w:szCs w:val="26"/>
        </w:rPr>
        <w:t>31 януари 2019 г.</w:t>
      </w:r>
    </w:p>
    <w:p w:rsidR="00674E8B" w:rsidRDefault="00674E8B">
      <w:pPr>
        <w:spacing w:before="114"/>
        <w:ind w:right="1112"/>
        <w:jc w:val="both"/>
        <w:rPr>
          <w:color w:val="000000"/>
          <w:sz w:val="26"/>
          <w:szCs w:val="26"/>
        </w:rPr>
      </w:pPr>
      <w:r>
        <w:rPr>
          <w:color w:val="000000"/>
          <w:sz w:val="26"/>
          <w:szCs w:val="26"/>
        </w:rPr>
        <w:t>Биенале запазва изключителното право да заснема на видео или снимки</w:t>
      </w:r>
      <w:r>
        <w:rPr>
          <w:sz w:val="26"/>
          <w:szCs w:val="26"/>
        </w:rPr>
        <w:t xml:space="preserve"> </w:t>
      </w:r>
      <w:r>
        <w:rPr>
          <w:color w:val="000000"/>
          <w:sz w:val="26"/>
          <w:szCs w:val="26"/>
        </w:rPr>
        <w:t>произведенията и инсталациите в пространствата на изложението в рамките на 58-ото</w:t>
      </w:r>
      <w:r>
        <w:rPr>
          <w:sz w:val="15"/>
          <w:szCs w:val="15"/>
        </w:rPr>
        <w:t xml:space="preserve"> </w:t>
      </w:r>
      <w:r>
        <w:rPr>
          <w:color w:val="000000"/>
          <w:sz w:val="26"/>
          <w:szCs w:val="26"/>
        </w:rPr>
        <w:t>Международно изложение на изкуствата с цел изготвяне на редакционни продукти, предназначени за документиране и популяризиране на Изложението, включително продукти за италиански и международни телевизионни мрежи с търговска цел, домашно видео, DVD и интернет.</w:t>
      </w:r>
    </w:p>
    <w:p w:rsidR="00674E8B" w:rsidRDefault="00674E8B">
      <w:pPr>
        <w:ind w:right="1112"/>
        <w:jc w:val="both"/>
        <w:rPr>
          <w:sz w:val="26"/>
          <w:szCs w:val="26"/>
        </w:rPr>
      </w:pPr>
    </w:p>
    <w:p w:rsidR="00674E8B" w:rsidRDefault="00674E8B">
      <w:pPr>
        <w:spacing w:line="276" w:lineRule="auto"/>
        <w:ind w:right="1112"/>
        <w:jc w:val="both"/>
        <w:rPr>
          <w:color w:val="000000"/>
          <w:sz w:val="26"/>
          <w:szCs w:val="26"/>
        </w:rPr>
      </w:pPr>
      <w:r>
        <w:br w:type="page"/>
      </w:r>
      <w:r>
        <w:rPr>
          <w:sz w:val="26"/>
          <w:szCs w:val="26"/>
        </w:rPr>
        <w:t>Б</w:t>
      </w:r>
      <w:r>
        <w:rPr>
          <w:color w:val="000000"/>
          <w:sz w:val="26"/>
          <w:szCs w:val="26"/>
        </w:rPr>
        <w:t>иенале запазва правото си да използва предоставените от участващата държава материали за целите на собствения си план за комуникации (Каталог на изложението и всякакви други свързани публикации, включително CD-ROM, гидове, картички, продукти или рекламни материали, разпространявани безплатно или срещу заплащане), без задължението да плаща такса или компенсация на участниците.</w:t>
      </w:r>
    </w:p>
    <w:p w:rsidR="00674E8B" w:rsidRDefault="00674E8B">
      <w:pPr>
        <w:ind w:right="1112"/>
        <w:jc w:val="both"/>
        <w:rPr>
          <w:color w:val="000000"/>
          <w:sz w:val="28"/>
          <w:szCs w:val="28"/>
        </w:rPr>
      </w:pPr>
    </w:p>
    <w:p w:rsidR="00674E8B" w:rsidRDefault="00674E8B">
      <w:pPr>
        <w:pStyle w:val="Heading1"/>
        <w:spacing w:before="248"/>
        <w:ind w:left="0" w:right="1112"/>
        <w:jc w:val="both"/>
      </w:pPr>
      <w:r>
        <w:t>Член 7— Спонсори на националните участници</w:t>
      </w:r>
    </w:p>
    <w:p w:rsidR="00674E8B" w:rsidRDefault="00674E8B">
      <w:pPr>
        <w:spacing w:before="114"/>
        <w:ind w:right="1112"/>
        <w:jc w:val="both"/>
        <w:rPr>
          <w:color w:val="000000"/>
          <w:sz w:val="26"/>
          <w:szCs w:val="26"/>
        </w:rPr>
      </w:pPr>
      <w:r>
        <w:rPr>
          <w:color w:val="000000"/>
          <w:sz w:val="26"/>
          <w:szCs w:val="26"/>
        </w:rPr>
        <w:t>Всеки спонсор, институция или публичен и/или частен субект, които са допринесли по какъвто и да е начин за осъществяване на национално участие, може по изрично искане на организаторите да бъдат посочени в каталога на изложението в съответствие с насоките, определени от Биенале, които при всички случаи не допускат публикуването на лого и/или корпоративни символи. Спонсорите на националните участници при никакви обстоятелства не може да бъдат представяни или да се представят в независими дейности по връзки с обществеността като спонсори на 58-ото Международно изложение на изкуствата, понеже те са признати единствено като спонсори на националните участници, които са подпомогнали.</w:t>
      </w:r>
    </w:p>
    <w:p w:rsidR="00674E8B" w:rsidRDefault="00674E8B">
      <w:pPr>
        <w:spacing w:before="107" w:line="321" w:lineRule="auto"/>
        <w:ind w:right="1112"/>
        <w:jc w:val="both"/>
        <w:rPr>
          <w:color w:val="000000"/>
          <w:sz w:val="26"/>
          <w:szCs w:val="26"/>
        </w:rPr>
      </w:pPr>
      <w:r>
        <w:rPr>
          <w:color w:val="000000"/>
          <w:sz w:val="26"/>
          <w:szCs w:val="26"/>
        </w:rPr>
        <w:t>Трети страни, подпомагащи националните участници, се упоменават, както следва: Инструменти за комуникация на Биенале (име на компанията без лого):</w:t>
      </w:r>
    </w:p>
    <w:p w:rsidR="00674E8B" w:rsidRDefault="00674E8B">
      <w:pPr>
        <w:numPr>
          <w:ilvl w:val="0"/>
          <w:numId w:val="1"/>
        </w:numPr>
        <w:tabs>
          <w:tab w:val="left" w:pos="471"/>
        </w:tabs>
        <w:ind w:left="0" w:right="1112" w:firstLine="0"/>
        <w:jc w:val="both"/>
        <w:rPr>
          <w:color w:val="000000"/>
        </w:rPr>
      </w:pPr>
      <w:r>
        <w:rPr>
          <w:color w:val="000000"/>
          <w:sz w:val="26"/>
          <w:szCs w:val="26"/>
        </w:rPr>
        <w:t>официален каталог на Изложението</w:t>
      </w:r>
    </w:p>
    <w:p w:rsidR="00674E8B" w:rsidRDefault="00674E8B">
      <w:pPr>
        <w:spacing w:before="108"/>
        <w:ind w:right="1112"/>
        <w:jc w:val="both"/>
        <w:rPr>
          <w:color w:val="000000"/>
          <w:sz w:val="26"/>
          <w:szCs w:val="26"/>
        </w:rPr>
      </w:pPr>
      <w:r>
        <w:rPr>
          <w:color w:val="000000"/>
          <w:sz w:val="26"/>
          <w:szCs w:val="26"/>
        </w:rPr>
        <w:t>Инструменти за комуникация на национален участник (име на компанията и лого):</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прессъобщение</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специален диалог</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специална покана за откриването на павилиона</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графични изображения във връзка с изложението (представителен панел) в павилиона</w:t>
      </w:r>
    </w:p>
    <w:p w:rsidR="00674E8B" w:rsidRDefault="00674E8B">
      <w:pPr>
        <w:numPr>
          <w:ilvl w:val="0"/>
          <w:numId w:val="1"/>
        </w:numPr>
        <w:tabs>
          <w:tab w:val="left" w:pos="471"/>
        </w:tabs>
        <w:spacing w:before="107"/>
        <w:ind w:left="0" w:right="1112" w:firstLine="0"/>
        <w:jc w:val="both"/>
        <w:rPr>
          <w:color w:val="000000"/>
        </w:rPr>
      </w:pPr>
      <w:r>
        <w:rPr>
          <w:color w:val="000000"/>
          <w:sz w:val="26"/>
          <w:szCs w:val="26"/>
        </w:rPr>
        <w:t>графики (плакати, брошури и др.)</w:t>
      </w:r>
    </w:p>
    <w:p w:rsidR="00674E8B" w:rsidRDefault="00674E8B">
      <w:pPr>
        <w:spacing w:before="114"/>
        <w:ind w:right="1112"/>
        <w:jc w:val="both"/>
        <w:rPr>
          <w:color w:val="000000"/>
          <w:sz w:val="26"/>
          <w:szCs w:val="26"/>
        </w:rPr>
      </w:pPr>
      <w:r>
        <w:rPr>
          <w:color w:val="000000"/>
          <w:sz w:val="26"/>
          <w:szCs w:val="26"/>
        </w:rPr>
        <w:t>Моля, имайте предвид, че информационните и рекламните материали (като брошури и др.) могат да бъдат излагани в специалното пространство на входа на Арсенале след предварително уведомление на отдела за визуални изкуства и пресслужбата на Биенале.</w:t>
      </w:r>
    </w:p>
    <w:p w:rsidR="00674E8B" w:rsidRDefault="00674E8B">
      <w:pPr>
        <w:pStyle w:val="Heading1"/>
        <w:ind w:left="0" w:right="1112"/>
        <w:jc w:val="both"/>
      </w:pPr>
      <w:r>
        <w:t>Моля, имайте предвид също, че специалният каталог на националния участник ще се продава изключително в официалните книжарници на Арсенале и Джардини.</w:t>
      </w:r>
    </w:p>
    <w:p w:rsidR="00674E8B" w:rsidRDefault="00674E8B">
      <w:pPr>
        <w:ind w:right="1112"/>
        <w:jc w:val="both"/>
        <w:rPr>
          <w:b/>
          <w:color w:val="000000"/>
          <w:sz w:val="20"/>
          <w:szCs w:val="20"/>
        </w:rPr>
      </w:pPr>
    </w:p>
    <w:p w:rsidR="00674E8B" w:rsidRDefault="00674E8B">
      <w:pPr>
        <w:spacing w:before="4"/>
        <w:ind w:right="1112"/>
        <w:jc w:val="both"/>
        <w:rPr>
          <w:b/>
          <w:color w:val="000000"/>
          <w:sz w:val="26"/>
          <w:szCs w:val="26"/>
        </w:rPr>
      </w:pPr>
    </w:p>
    <w:p w:rsidR="00674E8B" w:rsidRDefault="00674E8B">
      <w:pPr>
        <w:spacing w:before="100"/>
        <w:ind w:right="1112"/>
        <w:jc w:val="both"/>
        <w:rPr>
          <w:b/>
          <w:sz w:val="26"/>
          <w:szCs w:val="26"/>
        </w:rPr>
      </w:pPr>
      <w:r>
        <w:rPr>
          <w:b/>
          <w:sz w:val="26"/>
          <w:szCs w:val="26"/>
        </w:rPr>
        <w:t>Член 8 — Спазване на правилата, свързани с договорите, застраховките и социалните осигуровки на служителите на павилионите.</w:t>
      </w:r>
    </w:p>
    <w:p w:rsidR="00674E8B" w:rsidRDefault="00674E8B">
      <w:pPr>
        <w:spacing w:before="114"/>
        <w:ind w:right="1112"/>
        <w:jc w:val="both"/>
        <w:rPr>
          <w:color w:val="000000"/>
          <w:sz w:val="26"/>
          <w:szCs w:val="26"/>
        </w:rPr>
      </w:pPr>
      <w:r>
        <w:rPr>
          <w:color w:val="000000"/>
          <w:sz w:val="26"/>
          <w:szCs w:val="26"/>
        </w:rPr>
        <w:t>Държавата наема персонал за павилиона и доставчици, като спазва минималните нива на възнаграждение и условия на работа за Италия, предвидени по закон и от правото относно колективния трудов договор, въз основа на съответното равнище на служителя, неговата категория и сектор.</w:t>
      </w:r>
    </w:p>
    <w:p w:rsidR="00674E8B" w:rsidRDefault="00674E8B">
      <w:pPr>
        <w:spacing w:before="114"/>
        <w:ind w:right="1112"/>
        <w:jc w:val="both"/>
        <w:rPr>
          <w:color w:val="000000"/>
          <w:sz w:val="26"/>
          <w:szCs w:val="26"/>
        </w:rPr>
      </w:pPr>
      <w:r>
        <w:rPr>
          <w:color w:val="000000"/>
          <w:sz w:val="26"/>
          <w:szCs w:val="26"/>
        </w:rPr>
        <w:t>Държавата е задължена също да спазва и прилага всички стандарти, свързани със законите относно задължителното здравно осигуряване и предотвратяването на злополуки, както и социалното осигуряване по отношение на служителите и сътрудниците.</w:t>
      </w:r>
    </w:p>
    <w:p w:rsidR="00674E8B" w:rsidRDefault="00674E8B">
      <w:pPr>
        <w:spacing w:before="114"/>
        <w:ind w:right="1112"/>
        <w:jc w:val="both"/>
        <w:rPr>
          <w:color w:val="000000"/>
          <w:sz w:val="26"/>
          <w:szCs w:val="26"/>
        </w:rPr>
      </w:pPr>
      <w:r>
        <w:rPr>
          <w:color w:val="000000"/>
          <w:sz w:val="26"/>
          <w:szCs w:val="26"/>
        </w:rPr>
        <w:t>Държавата се счита за задължена по отношение на всички законни санкции в случай на евентуално неспазване на горепосоченото правило. Биенале е и ще бъде освободено от всякаква отговорност във връзка с неспазване на изискванията.</w:t>
      </w:r>
    </w:p>
    <w:p w:rsidR="00674E8B" w:rsidRDefault="00674E8B">
      <w:pPr>
        <w:ind w:right="1112"/>
        <w:jc w:val="both"/>
        <w:rPr>
          <w:color w:val="000000"/>
          <w:sz w:val="28"/>
          <w:szCs w:val="28"/>
        </w:rPr>
      </w:pPr>
    </w:p>
    <w:p w:rsidR="00674E8B" w:rsidRDefault="00674E8B">
      <w:pPr>
        <w:pStyle w:val="Heading1"/>
        <w:spacing w:before="248"/>
        <w:ind w:left="0" w:right="1112"/>
        <w:jc w:val="both"/>
      </w:pPr>
      <w:r>
        <w:t>Член 9 — Документация</w:t>
      </w:r>
    </w:p>
    <w:p w:rsidR="00674E8B" w:rsidRDefault="00674E8B">
      <w:pPr>
        <w:spacing w:before="114"/>
        <w:ind w:right="1112"/>
        <w:jc w:val="both"/>
        <w:rPr>
          <w:color w:val="000000"/>
          <w:sz w:val="26"/>
          <w:szCs w:val="26"/>
        </w:rPr>
      </w:pPr>
      <w:r>
        <w:rPr>
          <w:color w:val="000000"/>
          <w:sz w:val="26"/>
          <w:szCs w:val="26"/>
        </w:rPr>
        <w:t>Участващата държава може да изготвя, разпространява и публикува на своя отговорност и за своя сметка всякакви други рекламни материали и специфични инструкции относно своите изложбени проекти.</w:t>
      </w:r>
    </w:p>
    <w:p w:rsidR="00674E8B" w:rsidRDefault="00674E8B">
      <w:pPr>
        <w:spacing w:before="114"/>
        <w:ind w:right="1112"/>
        <w:jc w:val="both"/>
        <w:rPr>
          <w:color w:val="000000"/>
          <w:sz w:val="26"/>
          <w:szCs w:val="26"/>
        </w:rPr>
      </w:pPr>
      <w:r>
        <w:rPr>
          <w:color w:val="000000"/>
          <w:sz w:val="26"/>
          <w:szCs w:val="26"/>
        </w:rPr>
        <w:t>За публикации, изпратени от чужбина, участващите държави, институции и субекти носят отговорност за плащането на всички разходи, свързани с превоза и митническите такси, както и с налозите за окончателен внос в Италия (за държави извън ЕС).</w:t>
      </w:r>
    </w:p>
    <w:p w:rsidR="00674E8B" w:rsidRDefault="00674E8B">
      <w:pPr>
        <w:spacing w:before="114"/>
        <w:ind w:right="1112"/>
        <w:jc w:val="both"/>
        <w:rPr>
          <w:color w:val="000000"/>
          <w:sz w:val="26"/>
          <w:szCs w:val="26"/>
        </w:rPr>
      </w:pPr>
      <w:r>
        <w:rPr>
          <w:color w:val="000000"/>
          <w:sz w:val="26"/>
          <w:szCs w:val="26"/>
        </w:rPr>
        <w:t>Биенале запазва правото си да прави копия от всички материали и всякакви други получени материали от интерес с цел да ги добавя към архивите на Биенале ASAC (Archivio Storico delle Arti Contemporanee), за да бъдат в наличност за институционални цели и с цел проучвания.</w:t>
      </w:r>
    </w:p>
    <w:p w:rsidR="00674E8B" w:rsidRDefault="00674E8B">
      <w:pPr>
        <w:spacing w:before="114"/>
        <w:ind w:right="1112"/>
        <w:jc w:val="both"/>
        <w:rPr>
          <w:color w:val="000000"/>
          <w:sz w:val="26"/>
          <w:szCs w:val="26"/>
        </w:rPr>
      </w:pPr>
      <w:r>
        <w:rPr>
          <w:color w:val="000000"/>
          <w:sz w:val="26"/>
          <w:szCs w:val="26"/>
        </w:rPr>
        <w:t>Следователно организаторите на националното участие трябва да представят 5 допълнителни копия от всички публикации и печатните материали, които са изготвили за ASAC и отдела за визуални изкуства.</w:t>
      </w:r>
    </w:p>
    <w:p w:rsidR="00674E8B" w:rsidRDefault="00674E8B">
      <w:pPr>
        <w:ind w:right="1112"/>
        <w:jc w:val="both"/>
        <w:rPr>
          <w:color w:val="000000"/>
          <w:sz w:val="28"/>
          <w:szCs w:val="28"/>
        </w:rPr>
      </w:pPr>
    </w:p>
    <w:p w:rsidR="00674E8B" w:rsidRDefault="00674E8B">
      <w:pPr>
        <w:pStyle w:val="Heading1"/>
        <w:spacing w:before="248"/>
        <w:ind w:left="0" w:right="1112"/>
        <w:jc w:val="both"/>
      </w:pPr>
      <w:r>
        <w:t>Член 10 — Използване на логото</w:t>
      </w:r>
    </w:p>
    <w:p w:rsidR="00674E8B" w:rsidRDefault="00674E8B">
      <w:pPr>
        <w:spacing w:before="114"/>
        <w:ind w:right="1112"/>
        <w:jc w:val="both"/>
        <w:rPr>
          <w:color w:val="000000"/>
          <w:sz w:val="26"/>
          <w:szCs w:val="26"/>
        </w:rPr>
      </w:pPr>
      <w:r>
        <w:rPr>
          <w:color w:val="000000"/>
          <w:sz w:val="26"/>
          <w:szCs w:val="26"/>
        </w:rPr>
        <w:t>Биенале ще изпрати на всяка участваща държава и на всеки комисар копие от специфичното лого за националните участници. Логото трябва да се използва единствено за рекламни цели и в съответствие с Редакционната служба и уеб офиса на Биенале (adv@labiennale.org), които ще се свържат с организаторите, за да обяснят процедурата.</w:t>
      </w:r>
    </w:p>
    <w:p w:rsidR="00674E8B" w:rsidRDefault="00674E8B">
      <w:pPr>
        <w:ind w:right="1112"/>
        <w:jc w:val="both"/>
        <w:rPr>
          <w:sz w:val="26"/>
          <w:szCs w:val="26"/>
        </w:rPr>
      </w:pPr>
    </w:p>
    <w:p w:rsidR="00674E8B" w:rsidRDefault="00674E8B">
      <w:pPr>
        <w:spacing w:before="100"/>
        <w:ind w:right="1112"/>
        <w:jc w:val="both"/>
        <w:rPr>
          <w:color w:val="000000"/>
          <w:sz w:val="26"/>
          <w:szCs w:val="26"/>
        </w:rPr>
      </w:pPr>
      <w:r>
        <w:rPr>
          <w:color w:val="000000"/>
          <w:sz w:val="26"/>
          <w:szCs w:val="26"/>
        </w:rPr>
        <w:t>Логото трябва да се постави на всички информационни и печатни материали, спазвайки насоките, въведени от Редакционната служба и уеб офиса на Биенале, на които материалът трябва да бъде представен за предварително одобрение.</w:t>
      </w:r>
    </w:p>
    <w:p w:rsidR="00674E8B" w:rsidRDefault="00674E8B">
      <w:pPr>
        <w:spacing w:before="114"/>
        <w:ind w:right="1112"/>
        <w:jc w:val="both"/>
        <w:rPr>
          <w:color w:val="000000"/>
          <w:sz w:val="26"/>
          <w:szCs w:val="26"/>
        </w:rPr>
      </w:pPr>
      <w:r>
        <w:rPr>
          <w:color w:val="000000"/>
          <w:sz w:val="26"/>
          <w:szCs w:val="26"/>
        </w:rPr>
        <w:t>Използвайки логото, организаторите имат право на отстъпка от таксата за разлепване на плакати във Венеция (при условие че плакатите не носят търговско лого или корпоративни символи на спонсорите) и да разпространяват рекламни материали за събитията на специална за целта информационна кабина на местата на провеждане на 58-ото Международно изложение на изкуствата.</w:t>
      </w:r>
    </w:p>
    <w:p w:rsidR="00674E8B" w:rsidRDefault="00674E8B">
      <w:pPr>
        <w:spacing w:before="114"/>
        <w:ind w:right="1112"/>
        <w:jc w:val="both"/>
        <w:rPr>
          <w:color w:val="000000"/>
          <w:sz w:val="26"/>
          <w:szCs w:val="26"/>
        </w:rPr>
      </w:pPr>
      <w:r>
        <w:rPr>
          <w:color w:val="000000"/>
          <w:sz w:val="26"/>
          <w:szCs w:val="26"/>
        </w:rPr>
        <w:t>Липсата на лого върху промоционални или рекламни материали или неправилното използване на лого, както и липсата на одобрение за такива материали от Редакционната служба и Службата за дейности на Биенале ще доведе до изключване на националния участник от плана за комуникация и публичност на Изложението, както и до отмяна на предимствата, включително отстъпката от разлепване на плакати във Венеция и опцията за разпространение на тези рекламни материали в специална информационна кабина на местата на провеждане на Изложението.</w:t>
      </w:r>
    </w:p>
    <w:p w:rsidR="00674E8B" w:rsidRDefault="00674E8B">
      <w:pPr>
        <w:pStyle w:val="Heading1"/>
        <w:ind w:left="0" w:right="1112"/>
        <w:jc w:val="both"/>
      </w:pPr>
      <w:r>
        <w:t>Логото не може да се предоставя на изложители, спонсори или поддръжници на националните участници за независима комуникация или всякаква друга употреба.</w:t>
      </w:r>
    </w:p>
    <w:p w:rsidR="00674E8B" w:rsidRDefault="00674E8B">
      <w:pPr>
        <w:spacing w:before="114"/>
        <w:ind w:right="1112"/>
        <w:jc w:val="both"/>
        <w:rPr>
          <w:b/>
          <w:sz w:val="26"/>
          <w:szCs w:val="26"/>
        </w:rPr>
      </w:pPr>
      <w:r>
        <w:rPr>
          <w:b/>
          <w:sz w:val="26"/>
          <w:szCs w:val="26"/>
        </w:rPr>
        <w:t>Логото не може да се използва след края на 58-ото Международно изложение на изкуствата (24 ноември 2019 г.).</w:t>
      </w:r>
    </w:p>
    <w:p w:rsidR="00674E8B" w:rsidRDefault="00674E8B">
      <w:pPr>
        <w:spacing w:before="8"/>
        <w:ind w:right="1112"/>
        <w:jc w:val="both"/>
        <w:rPr>
          <w:b/>
          <w:color w:val="000000"/>
          <w:sz w:val="43"/>
          <w:szCs w:val="43"/>
        </w:rPr>
      </w:pPr>
    </w:p>
    <w:p w:rsidR="00674E8B" w:rsidRDefault="00674E8B">
      <w:pPr>
        <w:ind w:right="1112"/>
        <w:jc w:val="both"/>
        <w:rPr>
          <w:b/>
          <w:sz w:val="26"/>
          <w:szCs w:val="26"/>
        </w:rPr>
      </w:pPr>
      <w:r>
        <w:rPr>
          <w:b/>
          <w:sz w:val="26"/>
          <w:szCs w:val="26"/>
        </w:rPr>
        <w:t>Член 11 —Достъп до Изложението</w:t>
      </w:r>
    </w:p>
    <w:p w:rsidR="00674E8B" w:rsidRDefault="00674E8B">
      <w:pPr>
        <w:spacing w:before="114"/>
        <w:ind w:right="1112"/>
        <w:jc w:val="both"/>
        <w:rPr>
          <w:color w:val="000000"/>
          <w:sz w:val="26"/>
          <w:szCs w:val="26"/>
        </w:rPr>
      </w:pPr>
      <w:r>
        <w:rPr>
          <w:color w:val="000000"/>
          <w:sz w:val="26"/>
          <w:szCs w:val="26"/>
        </w:rPr>
        <w:t>Пресслужбата на Биенале носи единствена отговорност за акредитация на пресата за достъп до местата на провеждане на изложенията в Джардини и Арсенале, както и за издаване на пропуски за пресата. Медийните представители, които се обръщат пряко към организаторите на националното участие, при всички случаи трябва да бъдат акредитирани от пресслужбата на Биенале, която трябва да бъде уведомена за техните имена, имената на публикациите, за които работят, и всякакви други необходими данни за пряк контакт между Биенале и медийните представители. Организаторите на националните участия може да се свържат с пресслужбата на Биенале за акредитиране на техните агенти от пресата и специалистите в областта на информацията, следвайки процедурите за акредитация, които могат да бъдат намерени на уебсайта на Биенале (www.labiennale.org).</w:t>
      </w:r>
    </w:p>
    <w:p w:rsidR="00674E8B" w:rsidRDefault="00674E8B">
      <w:pPr>
        <w:spacing w:before="114"/>
        <w:ind w:right="1112"/>
        <w:jc w:val="both"/>
        <w:rPr>
          <w:color w:val="000000"/>
          <w:sz w:val="26"/>
          <w:szCs w:val="26"/>
        </w:rPr>
      </w:pPr>
      <w:r>
        <w:rPr>
          <w:color w:val="000000"/>
          <w:sz w:val="26"/>
          <w:szCs w:val="26"/>
        </w:rPr>
        <w:t>По време на предварителния преглед на Изложението (</w:t>
      </w:r>
      <w:r>
        <w:rPr>
          <w:b/>
          <w:color w:val="000000"/>
          <w:sz w:val="26"/>
          <w:szCs w:val="26"/>
        </w:rPr>
        <w:t>8, 9 и 10 май 2019 г.</w:t>
      </w:r>
      <w:r>
        <w:rPr>
          <w:color w:val="000000"/>
          <w:sz w:val="26"/>
          <w:szCs w:val="26"/>
        </w:rPr>
        <w:t>) на участващите държави ще бъдат предоставени редица покани в броя и при условията, определени от Биенале, които те може да разпределят автономно на своите комисари, куратори, изложители и гости от институции.</w:t>
      </w:r>
    </w:p>
    <w:p w:rsidR="00674E8B" w:rsidRDefault="00674E8B">
      <w:pPr>
        <w:ind w:right="1112"/>
        <w:jc w:val="both"/>
        <w:rPr>
          <w:color w:val="000000"/>
          <w:sz w:val="20"/>
          <w:szCs w:val="20"/>
        </w:rPr>
      </w:pPr>
    </w:p>
    <w:p w:rsidR="00674E8B" w:rsidRDefault="00674E8B">
      <w:pPr>
        <w:spacing w:before="4"/>
        <w:ind w:right="1112"/>
        <w:jc w:val="both"/>
        <w:rPr>
          <w:color w:val="000000"/>
          <w:sz w:val="26"/>
          <w:szCs w:val="26"/>
        </w:rPr>
      </w:pPr>
    </w:p>
    <w:p w:rsidR="00674E8B" w:rsidRDefault="00674E8B">
      <w:pPr>
        <w:pStyle w:val="Heading1"/>
        <w:spacing w:before="93"/>
        <w:ind w:left="0" w:right="1112"/>
        <w:jc w:val="both"/>
      </w:pPr>
      <w:r>
        <w:t>Член 12 — Разни</w:t>
      </w:r>
    </w:p>
    <w:p w:rsidR="00674E8B" w:rsidRDefault="00674E8B">
      <w:pPr>
        <w:spacing w:before="113"/>
        <w:ind w:right="1112"/>
        <w:jc w:val="both"/>
        <w:rPr>
          <w:color w:val="000000"/>
          <w:sz w:val="26"/>
          <w:szCs w:val="26"/>
        </w:rPr>
      </w:pPr>
      <w:r>
        <w:rPr>
          <w:color w:val="000000"/>
          <w:sz w:val="26"/>
          <w:szCs w:val="26"/>
        </w:rPr>
        <w:t>В случай на противоречие в тълкуването на отделните членове на тези регламенти превес взема оригиналният текст, написан на италиански език.</w:t>
      </w:r>
    </w:p>
    <w:p w:rsidR="00674E8B" w:rsidRDefault="00674E8B">
      <w:pPr>
        <w:spacing w:before="113"/>
        <w:ind w:right="1112"/>
        <w:jc w:val="both"/>
        <w:rPr>
          <w:color w:val="000000"/>
          <w:sz w:val="26"/>
          <w:szCs w:val="26"/>
        </w:rPr>
      </w:pPr>
      <w:r>
        <w:rPr>
          <w:color w:val="000000"/>
          <w:sz w:val="26"/>
          <w:szCs w:val="26"/>
        </w:rPr>
        <w:t>В случай че възникне спор по какъвто и да е въпрос, който не е обхванат от настоящите правила, окончателно е решението на Биенале.</w:t>
      </w:r>
    </w:p>
    <w:p w:rsidR="00674E8B" w:rsidRDefault="00674E8B">
      <w:pPr>
        <w:ind w:right="1112"/>
        <w:jc w:val="both"/>
        <w:rPr>
          <w:color w:val="000000"/>
          <w:sz w:val="28"/>
          <w:szCs w:val="28"/>
        </w:rPr>
      </w:pPr>
    </w:p>
    <w:p w:rsidR="00674E8B" w:rsidRDefault="00674E8B">
      <w:pPr>
        <w:pStyle w:val="Heading1"/>
        <w:spacing w:before="191"/>
        <w:ind w:left="0" w:right="1112"/>
        <w:jc w:val="both"/>
      </w:pPr>
      <w:r>
        <w:t>Член 13 — Информация и лица за контакт</w:t>
      </w:r>
    </w:p>
    <w:p w:rsidR="00674E8B" w:rsidRDefault="00674E8B">
      <w:pPr>
        <w:spacing w:before="165" w:line="315" w:lineRule="auto"/>
        <w:ind w:right="1112"/>
        <w:jc w:val="both"/>
        <w:rPr>
          <w:b/>
          <w:sz w:val="26"/>
          <w:szCs w:val="26"/>
        </w:rPr>
      </w:pPr>
      <w:r>
        <w:rPr>
          <w:b/>
          <w:sz w:val="26"/>
          <w:szCs w:val="26"/>
        </w:rPr>
        <w:t>Държави за контакт — правни и институционални въпроси</w:t>
      </w:r>
    </w:p>
    <w:p w:rsidR="00674E8B" w:rsidRDefault="00674E8B">
      <w:pPr>
        <w:spacing w:line="312" w:lineRule="auto"/>
        <w:ind w:right="1112"/>
        <w:jc w:val="both"/>
        <w:rPr>
          <w:color w:val="000000"/>
          <w:sz w:val="26"/>
          <w:szCs w:val="26"/>
        </w:rPr>
      </w:pPr>
      <w:r>
        <w:rPr>
          <w:color w:val="000000"/>
          <w:sz w:val="26"/>
          <w:szCs w:val="26"/>
        </w:rPr>
        <w:t>+39 041 2728370</w:t>
      </w:r>
    </w:p>
    <w:p w:rsidR="00674E8B" w:rsidRDefault="00674E8B">
      <w:pPr>
        <w:spacing w:line="312" w:lineRule="auto"/>
        <w:ind w:right="1112"/>
        <w:jc w:val="both"/>
        <w:rPr>
          <w:color w:val="000000"/>
          <w:sz w:val="26"/>
          <w:szCs w:val="26"/>
        </w:rPr>
      </w:pPr>
      <w:hyperlink r:id="rId11">
        <w:r>
          <w:rPr>
            <w:color w:val="000000"/>
            <w:sz w:val="26"/>
            <w:szCs w:val="26"/>
          </w:rPr>
          <w:t>countries@labiennale.org</w:t>
        </w:r>
      </w:hyperlink>
    </w:p>
    <w:p w:rsidR="00674E8B" w:rsidRDefault="00674E8B">
      <w:pPr>
        <w:pStyle w:val="Heading1"/>
        <w:spacing w:before="0" w:line="312" w:lineRule="auto"/>
        <w:ind w:left="0" w:right="1112"/>
        <w:jc w:val="both"/>
      </w:pPr>
      <w:r>
        <w:t>Отдел за визуални изкуства и архитектура</w:t>
      </w:r>
    </w:p>
    <w:p w:rsidR="00674E8B" w:rsidRDefault="00674E8B">
      <w:pPr>
        <w:spacing w:line="312" w:lineRule="auto"/>
        <w:ind w:right="1112"/>
        <w:jc w:val="both"/>
        <w:rPr>
          <w:color w:val="000000"/>
          <w:sz w:val="26"/>
          <w:szCs w:val="26"/>
        </w:rPr>
      </w:pPr>
      <w:r>
        <w:rPr>
          <w:color w:val="000000"/>
          <w:sz w:val="26"/>
          <w:szCs w:val="26"/>
        </w:rPr>
        <w:t>+39 041 5218720</w:t>
      </w:r>
    </w:p>
    <w:p w:rsidR="00674E8B" w:rsidRDefault="00674E8B">
      <w:pPr>
        <w:spacing w:line="315" w:lineRule="auto"/>
        <w:ind w:right="1112"/>
        <w:jc w:val="both"/>
        <w:rPr>
          <w:color w:val="000000"/>
          <w:sz w:val="26"/>
          <w:szCs w:val="26"/>
        </w:rPr>
      </w:pPr>
      <w:hyperlink r:id="rId12">
        <w:r>
          <w:rPr>
            <w:color w:val="000000"/>
            <w:sz w:val="26"/>
            <w:szCs w:val="26"/>
          </w:rPr>
          <w:t>countries@labiennale.org</w:t>
        </w:r>
      </w:hyperlink>
    </w:p>
    <w:sectPr w:rsidR="00674E8B" w:rsidSect="004F4241">
      <w:type w:val="continuous"/>
      <w:pgSz w:w="11910" w:h="16840"/>
      <w:pgMar w:top="960" w:right="0" w:bottom="500" w:left="740" w:header="360" w:footer="31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E8B" w:rsidRDefault="00674E8B">
      <w:r>
        <w:separator/>
      </w:r>
    </w:p>
  </w:endnote>
  <w:endnote w:type="continuationSeparator" w:id="0">
    <w:p w:rsidR="00674E8B" w:rsidRDefault="00674E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E8B" w:rsidRDefault="00674E8B">
    <w:pPr>
      <w:ind w:hanging="110"/>
      <w:rPr>
        <w:color w:val="000000"/>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E8B" w:rsidRDefault="00674E8B">
      <w:r>
        <w:separator/>
      </w:r>
    </w:p>
  </w:footnote>
  <w:footnote w:type="continuationSeparator" w:id="0">
    <w:p w:rsidR="00674E8B" w:rsidRDefault="00674E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E8B" w:rsidRDefault="00674E8B">
    <w:pPr>
      <w:ind w:hanging="110"/>
      <w:rPr>
        <w:color w:val="000000"/>
        <w:sz w:val="20"/>
        <w:szCs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2049" type="#_x0000_t75" style="position:absolute;margin-left:422.85pt;margin-top:49.3pt;width:135.45pt;height:125.95pt;z-index:251660288;visibility:visible;mso-wrap-distance-left:0;mso-wrap-distance-right:0;mso-position-horizontal-relative:margin">
          <v:imagedata r:id="rId1" o:title=""/>
          <w10:wrap type="square"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E3900"/>
    <w:multiLevelType w:val="multilevel"/>
    <w:tmpl w:val="E2F2EEF6"/>
    <w:lvl w:ilvl="0">
      <w:start w:val="1"/>
      <w:numFmt w:val="lowerLetter"/>
      <w:lvlText w:val="%1."/>
      <w:lvlJc w:val="left"/>
      <w:pPr>
        <w:ind w:left="396" w:hanging="286"/>
      </w:pPr>
      <w:rPr>
        <w:rFonts w:ascii="Calibri" w:eastAsia="Times New Roman" w:hAnsi="Calibri" w:cs="Calibri"/>
        <w:sz w:val="26"/>
        <w:szCs w:val="26"/>
      </w:rPr>
    </w:lvl>
    <w:lvl w:ilvl="1">
      <w:numFmt w:val="bullet"/>
      <w:lvlText w:val="•"/>
      <w:lvlJc w:val="left"/>
      <w:pPr>
        <w:ind w:left="1476" w:hanging="286"/>
      </w:pPr>
    </w:lvl>
    <w:lvl w:ilvl="2">
      <w:numFmt w:val="bullet"/>
      <w:lvlText w:val="•"/>
      <w:lvlJc w:val="left"/>
      <w:pPr>
        <w:ind w:left="2553" w:hanging="286"/>
      </w:pPr>
    </w:lvl>
    <w:lvl w:ilvl="3">
      <w:numFmt w:val="bullet"/>
      <w:lvlText w:val="•"/>
      <w:lvlJc w:val="left"/>
      <w:pPr>
        <w:ind w:left="3629" w:hanging="286"/>
      </w:pPr>
    </w:lvl>
    <w:lvl w:ilvl="4">
      <w:numFmt w:val="bullet"/>
      <w:lvlText w:val="•"/>
      <w:lvlJc w:val="left"/>
      <w:pPr>
        <w:ind w:left="4706" w:hanging="286"/>
      </w:pPr>
    </w:lvl>
    <w:lvl w:ilvl="5">
      <w:numFmt w:val="bullet"/>
      <w:lvlText w:val="•"/>
      <w:lvlJc w:val="left"/>
      <w:pPr>
        <w:ind w:left="5782" w:hanging="286"/>
      </w:pPr>
    </w:lvl>
    <w:lvl w:ilvl="6">
      <w:numFmt w:val="bullet"/>
      <w:lvlText w:val="•"/>
      <w:lvlJc w:val="left"/>
      <w:pPr>
        <w:ind w:left="6859" w:hanging="286"/>
      </w:pPr>
    </w:lvl>
    <w:lvl w:ilvl="7">
      <w:numFmt w:val="bullet"/>
      <w:lvlText w:val="•"/>
      <w:lvlJc w:val="left"/>
      <w:pPr>
        <w:ind w:left="7935" w:hanging="286"/>
      </w:pPr>
    </w:lvl>
    <w:lvl w:ilvl="8">
      <w:numFmt w:val="bullet"/>
      <w:lvlText w:val="•"/>
      <w:lvlJc w:val="left"/>
      <w:pPr>
        <w:ind w:left="9012" w:hanging="286"/>
      </w:pPr>
    </w:lvl>
  </w:abstractNum>
  <w:abstractNum w:abstractNumId="1">
    <w:nsid w:val="50994927"/>
    <w:multiLevelType w:val="multilevel"/>
    <w:tmpl w:val="44AA8A9E"/>
    <w:lvl w:ilvl="0">
      <w:numFmt w:val="bullet"/>
      <w:lvlText w:val="•"/>
      <w:lvlJc w:val="left"/>
      <w:pPr>
        <w:ind w:left="470" w:hanging="361"/>
      </w:pPr>
      <w:rPr>
        <w:rFonts w:ascii="Calibri" w:eastAsia="Times New Roman" w:hAnsi="Calibri"/>
        <w:sz w:val="26"/>
      </w:rPr>
    </w:lvl>
    <w:lvl w:ilvl="1">
      <w:numFmt w:val="bullet"/>
      <w:lvlText w:val="•"/>
      <w:lvlJc w:val="left"/>
      <w:pPr>
        <w:ind w:left="1548" w:hanging="360"/>
      </w:pPr>
    </w:lvl>
    <w:lvl w:ilvl="2">
      <w:numFmt w:val="bullet"/>
      <w:lvlText w:val="•"/>
      <w:lvlJc w:val="left"/>
      <w:pPr>
        <w:ind w:left="2617" w:hanging="361"/>
      </w:pPr>
    </w:lvl>
    <w:lvl w:ilvl="3">
      <w:numFmt w:val="bullet"/>
      <w:lvlText w:val="•"/>
      <w:lvlJc w:val="left"/>
      <w:pPr>
        <w:ind w:left="3685" w:hanging="361"/>
      </w:pPr>
    </w:lvl>
    <w:lvl w:ilvl="4">
      <w:numFmt w:val="bullet"/>
      <w:lvlText w:val="•"/>
      <w:lvlJc w:val="left"/>
      <w:pPr>
        <w:ind w:left="4754" w:hanging="361"/>
      </w:pPr>
    </w:lvl>
    <w:lvl w:ilvl="5">
      <w:numFmt w:val="bullet"/>
      <w:lvlText w:val="•"/>
      <w:lvlJc w:val="left"/>
      <w:pPr>
        <w:ind w:left="5822" w:hanging="361"/>
      </w:pPr>
    </w:lvl>
    <w:lvl w:ilvl="6">
      <w:numFmt w:val="bullet"/>
      <w:lvlText w:val="•"/>
      <w:lvlJc w:val="left"/>
      <w:pPr>
        <w:ind w:left="6891" w:hanging="361"/>
      </w:pPr>
    </w:lvl>
    <w:lvl w:ilvl="7">
      <w:numFmt w:val="bullet"/>
      <w:lvlText w:val="•"/>
      <w:lvlJc w:val="left"/>
      <w:pPr>
        <w:ind w:left="7959" w:hanging="361"/>
      </w:pPr>
    </w:lvl>
    <w:lvl w:ilvl="8">
      <w:numFmt w:val="bullet"/>
      <w:lvlText w:val="•"/>
      <w:lvlJc w:val="left"/>
      <w:pPr>
        <w:ind w:left="9028" w:hanging="361"/>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08FD"/>
    <w:rsid w:val="00023BB7"/>
    <w:rsid w:val="003608FD"/>
    <w:rsid w:val="004F4241"/>
    <w:rsid w:val="005919EF"/>
    <w:rsid w:val="00634358"/>
    <w:rsid w:val="00674E8B"/>
    <w:rsid w:val="006B5201"/>
    <w:rsid w:val="00BB0FE9"/>
    <w:rsid w:val="00E4119B"/>
    <w:rsid w:val="00F76D1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241"/>
    <w:pPr>
      <w:widowControl w:val="0"/>
    </w:pPr>
    <w:rPr>
      <w:lang w:val="bg-BG"/>
    </w:rPr>
  </w:style>
  <w:style w:type="paragraph" w:styleId="Heading1">
    <w:name w:val="heading 1"/>
    <w:basedOn w:val="Normal"/>
    <w:next w:val="Normal"/>
    <w:link w:val="Heading1Char"/>
    <w:uiPriority w:val="99"/>
    <w:qFormat/>
    <w:rsid w:val="004F4241"/>
    <w:pPr>
      <w:spacing w:before="114"/>
      <w:ind w:left="110"/>
      <w:outlineLvl w:val="0"/>
    </w:pPr>
    <w:rPr>
      <w:b/>
      <w:sz w:val="26"/>
      <w:szCs w:val="26"/>
    </w:rPr>
  </w:style>
  <w:style w:type="paragraph" w:styleId="Heading2">
    <w:name w:val="heading 2"/>
    <w:basedOn w:val="Normal"/>
    <w:next w:val="Normal"/>
    <w:link w:val="Heading2Char"/>
    <w:uiPriority w:val="99"/>
    <w:qFormat/>
    <w:rsid w:val="004F4241"/>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4F4241"/>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4F4241"/>
    <w:pPr>
      <w:keepNext/>
      <w:keepLines/>
      <w:spacing w:before="240" w:after="40"/>
      <w:outlineLvl w:val="3"/>
    </w:pPr>
    <w:rPr>
      <w:b/>
      <w:sz w:val="24"/>
      <w:szCs w:val="24"/>
    </w:rPr>
  </w:style>
  <w:style w:type="paragraph" w:styleId="Heading5">
    <w:name w:val="heading 5"/>
    <w:basedOn w:val="Normal"/>
    <w:next w:val="Normal"/>
    <w:link w:val="Heading5Char"/>
    <w:uiPriority w:val="99"/>
    <w:qFormat/>
    <w:rsid w:val="004F4241"/>
    <w:pPr>
      <w:keepNext/>
      <w:keepLines/>
      <w:spacing w:before="220" w:after="40"/>
      <w:outlineLvl w:val="4"/>
    </w:pPr>
    <w:rPr>
      <w:b/>
    </w:rPr>
  </w:style>
  <w:style w:type="paragraph" w:styleId="Heading6">
    <w:name w:val="heading 6"/>
    <w:basedOn w:val="Normal"/>
    <w:next w:val="Normal"/>
    <w:link w:val="Heading6Char"/>
    <w:uiPriority w:val="99"/>
    <w:qFormat/>
    <w:rsid w:val="004F4241"/>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A95"/>
    <w:rPr>
      <w:rFonts w:asciiTheme="majorHAnsi" w:eastAsiaTheme="majorEastAsia" w:hAnsiTheme="majorHAnsi" w:cstheme="majorBidi"/>
      <w:b/>
      <w:bCs/>
      <w:kern w:val="32"/>
      <w:sz w:val="32"/>
      <w:szCs w:val="32"/>
      <w:lang w:val="bg-BG"/>
    </w:rPr>
  </w:style>
  <w:style w:type="character" w:customStyle="1" w:styleId="Heading2Char">
    <w:name w:val="Heading 2 Char"/>
    <w:basedOn w:val="DefaultParagraphFont"/>
    <w:link w:val="Heading2"/>
    <w:uiPriority w:val="9"/>
    <w:semiHidden/>
    <w:rsid w:val="005B4A95"/>
    <w:rPr>
      <w:rFonts w:asciiTheme="majorHAnsi" w:eastAsiaTheme="majorEastAsia" w:hAnsiTheme="majorHAnsi" w:cstheme="majorBidi"/>
      <w:b/>
      <w:bCs/>
      <w:i/>
      <w:iCs/>
      <w:sz w:val="28"/>
      <w:szCs w:val="28"/>
      <w:lang w:val="bg-BG"/>
    </w:rPr>
  </w:style>
  <w:style w:type="character" w:customStyle="1" w:styleId="Heading3Char">
    <w:name w:val="Heading 3 Char"/>
    <w:basedOn w:val="DefaultParagraphFont"/>
    <w:link w:val="Heading3"/>
    <w:uiPriority w:val="9"/>
    <w:semiHidden/>
    <w:rsid w:val="005B4A95"/>
    <w:rPr>
      <w:rFonts w:asciiTheme="majorHAnsi" w:eastAsiaTheme="majorEastAsia" w:hAnsiTheme="majorHAnsi" w:cstheme="majorBidi"/>
      <w:b/>
      <w:bCs/>
      <w:sz w:val="26"/>
      <w:szCs w:val="26"/>
      <w:lang w:val="bg-BG"/>
    </w:rPr>
  </w:style>
  <w:style w:type="character" w:customStyle="1" w:styleId="Heading4Char">
    <w:name w:val="Heading 4 Char"/>
    <w:basedOn w:val="DefaultParagraphFont"/>
    <w:link w:val="Heading4"/>
    <w:uiPriority w:val="9"/>
    <w:semiHidden/>
    <w:rsid w:val="005B4A95"/>
    <w:rPr>
      <w:rFonts w:asciiTheme="minorHAnsi" w:eastAsiaTheme="minorEastAsia" w:hAnsiTheme="minorHAnsi" w:cstheme="minorBidi"/>
      <w:b/>
      <w:bCs/>
      <w:sz w:val="28"/>
      <w:szCs w:val="28"/>
      <w:lang w:val="bg-BG"/>
    </w:rPr>
  </w:style>
  <w:style w:type="character" w:customStyle="1" w:styleId="Heading5Char">
    <w:name w:val="Heading 5 Char"/>
    <w:basedOn w:val="DefaultParagraphFont"/>
    <w:link w:val="Heading5"/>
    <w:uiPriority w:val="9"/>
    <w:semiHidden/>
    <w:rsid w:val="005B4A95"/>
    <w:rPr>
      <w:rFonts w:asciiTheme="minorHAnsi" w:eastAsiaTheme="minorEastAsia" w:hAnsiTheme="minorHAnsi" w:cstheme="minorBidi"/>
      <w:b/>
      <w:bCs/>
      <w:i/>
      <w:iCs/>
      <w:sz w:val="26"/>
      <w:szCs w:val="26"/>
      <w:lang w:val="bg-BG"/>
    </w:rPr>
  </w:style>
  <w:style w:type="character" w:customStyle="1" w:styleId="Heading6Char">
    <w:name w:val="Heading 6 Char"/>
    <w:basedOn w:val="DefaultParagraphFont"/>
    <w:link w:val="Heading6"/>
    <w:uiPriority w:val="9"/>
    <w:semiHidden/>
    <w:rsid w:val="005B4A95"/>
    <w:rPr>
      <w:rFonts w:asciiTheme="minorHAnsi" w:eastAsiaTheme="minorEastAsia" w:hAnsiTheme="minorHAnsi" w:cstheme="minorBidi"/>
      <w:b/>
      <w:bCs/>
      <w:lang w:val="bg-BG"/>
    </w:rPr>
  </w:style>
  <w:style w:type="paragraph" w:styleId="Title">
    <w:name w:val="Title"/>
    <w:basedOn w:val="Normal"/>
    <w:next w:val="Normal"/>
    <w:link w:val="TitleChar"/>
    <w:uiPriority w:val="99"/>
    <w:qFormat/>
    <w:rsid w:val="004F4241"/>
    <w:pPr>
      <w:keepNext/>
      <w:keepLines/>
      <w:spacing w:before="480" w:after="120"/>
    </w:pPr>
    <w:rPr>
      <w:b/>
      <w:sz w:val="72"/>
      <w:szCs w:val="72"/>
    </w:rPr>
  </w:style>
  <w:style w:type="character" w:customStyle="1" w:styleId="TitleChar">
    <w:name w:val="Title Char"/>
    <w:basedOn w:val="DefaultParagraphFont"/>
    <w:link w:val="Title"/>
    <w:uiPriority w:val="10"/>
    <w:rsid w:val="005B4A95"/>
    <w:rPr>
      <w:rFonts w:asciiTheme="majorHAnsi" w:eastAsiaTheme="majorEastAsia" w:hAnsiTheme="majorHAnsi" w:cstheme="majorBidi"/>
      <w:b/>
      <w:bCs/>
      <w:kern w:val="28"/>
      <w:sz w:val="32"/>
      <w:szCs w:val="32"/>
      <w:lang w:val="bg-BG"/>
    </w:rPr>
  </w:style>
  <w:style w:type="paragraph" w:styleId="Subtitle">
    <w:name w:val="Subtitle"/>
    <w:basedOn w:val="Normal"/>
    <w:next w:val="Normal"/>
    <w:link w:val="SubtitleChar"/>
    <w:uiPriority w:val="99"/>
    <w:qFormat/>
    <w:rsid w:val="004F4241"/>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5B4A95"/>
    <w:rPr>
      <w:rFonts w:asciiTheme="majorHAnsi" w:eastAsiaTheme="majorEastAsia" w:hAnsiTheme="majorHAnsi" w:cstheme="majorBidi"/>
      <w:sz w:val="24"/>
      <w:szCs w:val="24"/>
      <w:lang w:val="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biennale.org/en/biennale-noticeboar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ountries@labiennal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untries@labiennale.org"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9</Pages>
  <Words>3285</Words>
  <Characters>18730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58-мо Международно изложение на изкуствата</dc:title>
  <dc:subject/>
  <dc:creator>Lora Atanasova</dc:creator>
  <cp:keywords/>
  <dc:description/>
  <cp:lastModifiedBy>m.arangelova</cp:lastModifiedBy>
  <cp:revision>2</cp:revision>
  <dcterms:created xsi:type="dcterms:W3CDTF">2018-12-11T14:35:00Z</dcterms:created>
  <dcterms:modified xsi:type="dcterms:W3CDTF">2018-12-11T14:35:00Z</dcterms:modified>
</cp:coreProperties>
</file>